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任务3个，产品包装盒设计3个品种，清热解毒注射液、疼痛贴、盐酸左氧氟沙星注射液</w:t>
      </w:r>
    </w:p>
    <w:p>
      <w:pPr>
        <w:pStyle w:val="2"/>
        <w:keepNext w:val="0"/>
        <w:keepLines w:val="0"/>
        <w:widowControl/>
        <w:suppressLineNumbers w:val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发挥想象力，不要带有修正标，留有LOGO的位置（均为药品）</w:t>
      </w:r>
    </w:p>
    <w:p>
      <w:pPr>
        <w:pStyle w:val="2"/>
        <w:keepNext w:val="0"/>
        <w:keepLines w:val="0"/>
        <w:widowControl/>
        <w:suppressLineNumbers w:val="0"/>
      </w:pPr>
      <w:r>
        <w:t>尺寸细节后补，主要设计出款式、风格。</w:t>
      </w:r>
      <w:r>
        <w:rPr>
          <w:rFonts w:hint="eastAsia"/>
          <w:lang w:eastAsia="zh-CN"/>
        </w:rPr>
        <w:t>要有特点独家品种。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t>自由发挥，请百度了解相关药品外包装设计要求。</w:t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不要受限于现有产品外观。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1、清热解毒注射液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批准文号：国药准字Z41021724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主要成分：金银花、黄岑、连翘、龙胆、石膏、知母、栀子、板蓝根、地黄、麦冬、紫花地丁、玄参。</w:t>
      </w:r>
    </w:p>
    <w:p>
      <w:pPr>
        <w:rPr>
          <w:rFonts w:hint="eastAsia"/>
          <w:color w:val="FFFF00"/>
          <w:lang w:val="en-US" w:eastAsia="zh-CN"/>
        </w:rPr>
      </w:pPr>
      <w:r>
        <w:rPr>
          <w:rFonts w:hint="eastAsia"/>
          <w:lang w:val="en-US" w:eastAsia="zh-CN"/>
        </w:rPr>
        <w:t>要求：</w:t>
      </w:r>
      <w:r>
        <w:rPr>
          <w:rFonts w:hint="eastAsia"/>
          <w:color w:val="00B0F0"/>
          <w:lang w:val="en-US" w:eastAsia="zh-CN"/>
        </w:rPr>
        <w:t>本产品能用于雾化、直肠给药，要在包装上体现。不要用字体现。体现用途广泛。（百度查找什么是绿色诊疗？）</w:t>
      </w:r>
    </w:p>
    <w:p>
      <w:pPr>
        <w:rPr>
          <w:rFonts w:hint="eastAsia"/>
          <w:lang w:val="en-US" w:eastAsia="zh-CN"/>
        </w:rPr>
      </w:pPr>
      <w:r>
        <w:rPr>
          <w:rStyle w:val="4"/>
        </w:rPr>
        <w:t>纯中药注射液，独家12味中药产品，要求大方，包装图案款式设计</w:t>
      </w:r>
    </w:p>
    <w:p>
      <w:pPr>
        <w:pStyle w:val="2"/>
        <w:keepNext w:val="0"/>
        <w:keepLines w:val="0"/>
        <w:widowControl/>
        <w:suppressLineNumbers w:val="0"/>
      </w:pPr>
      <w:r>
        <w:t>规格 2ml*5支/盒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t>功能主治：清热解毒。用于流感，轻型脑膜炎，外感发热等症。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t>用法用量肌内注射，一次2～4ml，一日2～4次。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疼痛贴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名称：疼痛贴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要求：体现中医传统特色与现代技术相融合，帖敷疗法。透皮技术，纯中药成分。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原理：</w:t>
      </w:r>
      <w:r>
        <w:t>利用高分子凝胶所含的大量水分及清凉成分进行扩散，转运到皮肤，通过水分汽化带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t>走热量，从而达到疼痛部位消肿止痛的辅助治疗作用。</w:t>
      </w:r>
    </w:p>
    <w:p>
      <w:pPr>
        <w:rPr>
          <w:rFonts w:hint="eastAsia"/>
          <w:color w:val="FF0000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281170" cy="2887345"/>
            <wp:effectExtent l="0" t="0" r="5080" b="8255"/>
            <wp:docPr id="1" name="图片 1" descr="修正效果图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修正效果图4-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117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图片仅供参考</w:t>
      </w:r>
    </w:p>
    <w:p>
      <w:pPr>
        <w:rPr>
          <w:rFonts w:hint="eastAsia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 w:eastAsiaTheme="minorEastAsia"/>
          <w:color w:val="FF0000"/>
          <w:sz w:val="24"/>
          <w:szCs w:val="24"/>
          <w:lang w:val="en-US" w:eastAsia="zh-CN"/>
        </w:rPr>
        <w:drawing>
          <wp:inline distT="0" distB="0" distL="114300" distR="114300">
            <wp:extent cx="2894330" cy="3859530"/>
            <wp:effectExtent l="0" t="0" r="1270" b="7620"/>
            <wp:docPr id="2" name="图片 2" descr="458973429429120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589734294291204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图片仅供参考</w:t>
      </w:r>
    </w:p>
    <w:p>
      <w:pPr>
        <w:rPr>
          <w:rFonts w:hint="eastAsia" w:eastAsiaTheme="minorEastAsia"/>
          <w:color w:val="FF0000"/>
          <w:sz w:val="24"/>
          <w:szCs w:val="24"/>
          <w:lang w:val="en-US" w:eastAsia="zh-CN"/>
        </w:rPr>
      </w:pPr>
    </w:p>
    <w:p>
      <w:pPr>
        <w:rPr>
          <w:rFonts w:hint="eastAsia" w:eastAsiaTheme="minorEastAsia"/>
          <w:color w:val="FF0000"/>
          <w:sz w:val="24"/>
          <w:szCs w:val="24"/>
          <w:lang w:val="en-US" w:eastAsia="zh-CN"/>
        </w:rPr>
      </w:pPr>
    </w:p>
    <w:p>
      <w:pPr>
        <w:rPr>
          <w:rFonts w:hint="eastAsia" w:eastAsiaTheme="minorEastAsia"/>
          <w:color w:val="FF0000"/>
          <w:sz w:val="24"/>
          <w:szCs w:val="24"/>
          <w:lang w:val="en-US" w:eastAsia="zh-CN"/>
        </w:rPr>
      </w:pPr>
    </w:p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3、盐酸左氧氟沙星注射液</w:t>
      </w:r>
    </w:p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批准文号：国药准字H20143191</w:t>
      </w:r>
    </w:p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规格：5ml：0.5g</w:t>
      </w:r>
    </w:p>
    <w:p>
      <w:pPr>
        <w:rPr>
          <w:rFonts w:hint="eastAsia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要求：参考国际的左氧注射液外包装设计。</w:t>
      </w:r>
    </w:p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inline distT="0" distB="0" distL="114300" distR="114300">
            <wp:extent cx="5266690" cy="3949700"/>
            <wp:effectExtent l="0" t="0" r="10160" b="12700"/>
            <wp:docPr id="3" name="图片 3" descr="186132116176825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861321161768254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图片仅供参考</w:t>
      </w:r>
    </w:p>
    <w:p>
      <w:pPr>
        <w:rPr>
          <w:rFonts w:hint="eastAsia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0096098">
    <w:nsid w:val="57074C62"/>
    <w:multiLevelType w:val="singleLevel"/>
    <w:tmpl w:val="57074C62"/>
    <w:lvl w:ilvl="0" w:tentative="1">
      <w:start w:val="2"/>
      <w:numFmt w:val="decimal"/>
      <w:suff w:val="nothing"/>
      <w:lvlText w:val="%1、"/>
      <w:lvlJc w:val="left"/>
    </w:lvl>
  </w:abstractNum>
  <w:num w:numId="1">
    <w:abstractNumId w:val="14600960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B5F1B"/>
    <w:rsid w:val="03121196"/>
    <w:rsid w:val="07AB2596"/>
    <w:rsid w:val="0B064520"/>
    <w:rsid w:val="0C735D5E"/>
    <w:rsid w:val="0F896E4A"/>
    <w:rsid w:val="11BC54D7"/>
    <w:rsid w:val="12384568"/>
    <w:rsid w:val="17FE6F62"/>
    <w:rsid w:val="19607218"/>
    <w:rsid w:val="1A3C7023"/>
    <w:rsid w:val="1A5975AB"/>
    <w:rsid w:val="1AFD2222"/>
    <w:rsid w:val="1B1743F2"/>
    <w:rsid w:val="1BEF00FE"/>
    <w:rsid w:val="1E4D6338"/>
    <w:rsid w:val="1F3844BA"/>
    <w:rsid w:val="2149639F"/>
    <w:rsid w:val="25B96E73"/>
    <w:rsid w:val="26307F77"/>
    <w:rsid w:val="2BC856B5"/>
    <w:rsid w:val="2C540DC2"/>
    <w:rsid w:val="2C685987"/>
    <w:rsid w:val="2DBD71C4"/>
    <w:rsid w:val="2E543599"/>
    <w:rsid w:val="2F3C2BB5"/>
    <w:rsid w:val="2FAD13AB"/>
    <w:rsid w:val="30577FDB"/>
    <w:rsid w:val="30F82233"/>
    <w:rsid w:val="34A91820"/>
    <w:rsid w:val="372C148A"/>
    <w:rsid w:val="41A075B9"/>
    <w:rsid w:val="471155A2"/>
    <w:rsid w:val="4A404633"/>
    <w:rsid w:val="50FB6197"/>
    <w:rsid w:val="513E4128"/>
    <w:rsid w:val="557C78EB"/>
    <w:rsid w:val="5DBE4552"/>
    <w:rsid w:val="5F921EC2"/>
    <w:rsid w:val="60997B74"/>
    <w:rsid w:val="655C343E"/>
    <w:rsid w:val="66E420BF"/>
    <w:rsid w:val="67571810"/>
    <w:rsid w:val="67714E75"/>
    <w:rsid w:val="6B417266"/>
    <w:rsid w:val="6FF119D4"/>
    <w:rsid w:val="70AC2B11"/>
    <w:rsid w:val="73A74280"/>
    <w:rsid w:val="774474B3"/>
    <w:rsid w:val="7B196BE2"/>
    <w:rsid w:val="7DCE456B"/>
    <w:rsid w:val="7E613136"/>
    <w:rsid w:val="7ECB3CE0"/>
    <w:rsid w:val="7F061BAA"/>
    <w:rsid w:val="7FE715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5D5D5D"/>
      <w:u w:val="none"/>
    </w:rPr>
  </w:style>
  <w:style w:type="character" w:styleId="6">
    <w:name w:val="Hyperlink"/>
    <w:basedOn w:val="3"/>
    <w:qFormat/>
    <w:uiPriority w:val="0"/>
    <w:rPr>
      <w:color w:val="5D5D5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2016-04-08T07:12:12Z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