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bookmarkStart w:id="0" w:name="_Toc24705085"/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 xml:space="preserve">  主要构成及功能参数</w:t>
      </w:r>
    </w:p>
    <w:p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1  </w:t>
      </w:r>
      <w:r>
        <w:rPr>
          <w:rFonts w:hint="eastAsia" w:ascii="宋体" w:hAnsi="宋体"/>
          <w:kern w:val="0"/>
          <w:sz w:val="24"/>
          <w:szCs w:val="24"/>
        </w:rPr>
        <w:t>构成和功能</w:t>
      </w:r>
      <w:bookmarkEnd w:id="0"/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燃烧机主要由机架、进料装置、燃烧系统、控制器等部分组成。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1.1  机架</w:t>
      </w:r>
    </w:p>
    <w:p>
      <w:pPr>
        <w:spacing w:line="360" w:lineRule="auto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1.1.1  支架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支撑和移动燃烧机的部件。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1.1.2  箱体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保护燃烧机主体的外部壳体。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1.2  进料装置</w:t>
      </w:r>
    </w:p>
    <w:p>
      <w:pPr>
        <w:spacing w:line="360" w:lineRule="auto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1.2.1  贮料箱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放置燃料的容器。</w:t>
      </w:r>
    </w:p>
    <w:p>
      <w:pPr>
        <w:spacing w:line="360" w:lineRule="auto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1.2.2  撤料装置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清理未使用燃料的部件。</w:t>
      </w:r>
    </w:p>
    <w:p>
      <w:pPr>
        <w:spacing w:line="360" w:lineRule="auto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1.2.3  螺旋送料器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燃料送入喷火管的供料部件。</w:t>
      </w:r>
    </w:p>
    <w:p>
      <w:pPr>
        <w:spacing w:line="360" w:lineRule="auto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1.3  燃烧系统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1.3.1  点火器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点燃燃料的部件。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1.3.2  送风装置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通过风机强制将助燃空气集中或分配至点火器与助燃风管的部件。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 xml:space="preserve">1.3.3  </w:t>
      </w:r>
      <w:r>
        <w:rPr>
          <w:rFonts w:hint="eastAsia" w:ascii="宋体" w:hAnsi="宋体" w:cs="宋体"/>
          <w:kern w:val="0"/>
          <w:sz w:val="24"/>
          <w:szCs w:val="24"/>
        </w:rPr>
        <w:t>燃烧装置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燃烧燃料的部件，燃烧位置在炉膛内或炉膛外。喷火管：燃烧位置在炉膛外时，输出火焰及高温气体的部件。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1.3.4  密封板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原燃料进口与喷火管之间的密封部件。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1.3.5  清灰除焦器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清除喷火管内燃料燃烧后产生的灰渣的部件。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1.3.6  观火器</w:t>
      </w:r>
    </w:p>
    <w:p>
      <w:pPr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观察喷火管内燃料燃烧状态的部件。</w:t>
      </w:r>
    </w:p>
    <w:p>
      <w:pPr>
        <w:spacing w:line="360" w:lineRule="auto"/>
        <w:rPr>
          <w:rFonts w:ascii="宋体" w:hAnsi="宋体" w:cs="黑体"/>
          <w:sz w:val="24"/>
          <w:szCs w:val="24"/>
        </w:rPr>
      </w:pPr>
      <w:bookmarkStart w:id="1" w:name="_Toc24705086"/>
      <w:r>
        <w:rPr>
          <w:rFonts w:hint="eastAsia" w:ascii="宋体" w:hAnsi="宋体" w:cs="黑体"/>
          <w:sz w:val="24"/>
          <w:szCs w:val="24"/>
        </w:rPr>
        <w:t>2  技术参数</w:t>
      </w:r>
      <w:bookmarkEnd w:id="1"/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2.1  燃烧机主要参数</w:t>
      </w:r>
    </w:p>
    <w:p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表1  燃烧机主要参数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525"/>
        <w:gridCol w:w="3386"/>
        <w:gridCol w:w="1134"/>
        <w:gridCol w:w="2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tblHeader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5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33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内容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贮料参数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贮料箱有效容积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≥0.2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贮料箱上沿距地面高度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mm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≤1700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出火位置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中心高度及可调范围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mm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63</w:t>
            </w:r>
            <w:r>
              <w:rPr>
                <w:rFonts w:hint="eastAsia" w:ascii="宋体" w:hAnsi="宋体" w:cs="宋体"/>
                <w:sz w:val="24"/>
                <w:szCs w:val="24"/>
              </w:rPr>
              <w:t>0±1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供热参数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额定热功率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kJ/h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≥400000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最小稳燃热功率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kJ/h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≤15000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燃烧效率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＞90%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tblHeader/>
          <w:jc w:val="center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点火参数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点火完成所需时间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min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点火器额定点火次数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≥2000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控制参数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【1】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温度控制精度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±0.5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输出控制响应时间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s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噪声参数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整机噪声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dB(A)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有效度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整机有效度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≥98%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耗电量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小时耗电量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kW·h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≤0.40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装机功率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点火装置功率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kW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≥0.6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送料电机功率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kW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≥0.06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清灰除焦器电机功率</w:t>
            </w:r>
            <w:r>
              <w:rPr>
                <w:rFonts w:hint="eastAsia" w:ascii="宋体" w:hAnsi="宋体"/>
                <w:kern w:val="0"/>
                <w:sz w:val="24"/>
                <w:szCs w:val="24"/>
                <w:vertAlign w:val="superscript"/>
              </w:rPr>
              <w:t>【2】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kW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≥0.02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控制器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kW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≤0.03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助燃风机功率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kW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≥0.12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2.2  工作环境参数</w:t>
      </w:r>
    </w:p>
    <w:p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表2  工作环境参数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886"/>
        <w:gridCol w:w="3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tblHeader/>
          <w:jc w:val="center"/>
        </w:trPr>
        <w:tc>
          <w:tcPr>
            <w:tcW w:w="33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内容</w:t>
            </w:r>
          </w:p>
        </w:tc>
        <w:tc>
          <w:tcPr>
            <w:tcW w:w="18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7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tblHeader/>
          <w:jc w:val="center"/>
        </w:trPr>
        <w:tc>
          <w:tcPr>
            <w:tcW w:w="33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环境温度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3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0～45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tblHeader/>
          <w:jc w:val="center"/>
        </w:trPr>
        <w:tc>
          <w:tcPr>
            <w:tcW w:w="33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相对湿度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</w:p>
        </w:tc>
        <w:tc>
          <w:tcPr>
            <w:tcW w:w="3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≤85%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tblHeader/>
          <w:jc w:val="center"/>
        </w:trPr>
        <w:tc>
          <w:tcPr>
            <w:tcW w:w="33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海拔高度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</w:t>
            </w:r>
          </w:p>
        </w:tc>
        <w:tc>
          <w:tcPr>
            <w:tcW w:w="3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tblHeader/>
          <w:jc w:val="center"/>
        </w:trPr>
        <w:tc>
          <w:tcPr>
            <w:tcW w:w="339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工作电压（交流）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V</w:t>
            </w:r>
          </w:p>
        </w:tc>
        <w:tc>
          <w:tcPr>
            <w:tcW w:w="37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220±20%或380±20%</w:t>
            </w:r>
          </w:p>
        </w:tc>
      </w:tr>
    </w:tbl>
    <w:p>
      <w:pPr>
        <w:spacing w:line="360" w:lineRule="auto"/>
        <w:rPr>
          <w:rFonts w:ascii="宋体" w:hAnsi="宋体" w:cs="黑体"/>
          <w:sz w:val="24"/>
          <w:szCs w:val="24"/>
        </w:rPr>
      </w:pPr>
      <w:bookmarkStart w:id="2" w:name="_Toc24705087"/>
      <w:r>
        <w:rPr>
          <w:rFonts w:hint="eastAsia" w:ascii="宋体" w:hAnsi="宋体" w:cs="黑体"/>
          <w:sz w:val="24"/>
          <w:szCs w:val="24"/>
        </w:rPr>
        <w:t>3.  制造质量及要求</w:t>
      </w:r>
      <w:bookmarkEnd w:id="2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3.1  加工件质量要求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a) 铸造加工件：灰铸铁符合GB/T 9439-2010要求，耐热铸铁符合GB/T 9437-2009要求。铸件不得有裂纹、气孔、夹渣、缩松、沙眼等缺陷。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b) 钣金件表面平整，不得有裂纹、皱折、凹凸、锈蚀等缺陷。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c) 焊接件符合GB/T 12467.1～12467.4-1998要求。焊接部位须选用与母材一致的焊材，当高等级母材与低等级母材焊接时，须选用与高等级母材一致的焊材；焊缝要严密平整，无气孔，无夹渣，不漏气；焊接件要求焊接牢固、平整、均匀，无烧穿、未焊透等缺陷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d) 机械加工件表面无磕、碰、划伤、锈蚀等缺陷；轴、链轮、齿轮等机械加工零件须按强度和硬度需求进行热处理加工。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e) 铆接件、螺栓连接件要求牢固，铆钉、螺栓不得松动、歪斜。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f) 隔热和保温件材料符合国家相关标准。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3.2  外观和防护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a) 整机外表须采用喷涂处理，要求色泽均匀，色彩搭配美观，防尘、防水、防锈，外表面应采用附着力强的环保材料，内表面应喷涂防锈漆，其中不锈钢表面不喷涂（外表面可采用抛光、拉丝处理）。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b) 燃烧系统外形整体要求美观、协调。其外表面须采用静电喷涂防腐处理，相同部件表面涂层颜色一致，无明显色差，表面光滑清洁，无毛刺和飞边，无磕、碰、划伤、锈蚀及脱漆现象。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c) 外露高温和转动部件须安装防护罩并按规定设置警示标志。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3.3  电器安装要求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a) 机体内部各用电部件之间的布线合理，并远离高温区域。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b) 线缆与机体固定，不得悬空，必要时设置桥架或加装套管。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c) 驱动导线与控制线应尽量远离，以避免干扰。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d) 每一根电缆都必须有对应的标示，端头固定后必须采用保护措施，防止发生意外触电。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e) 电缆的导体平方数必须大于其最大载流量的平方数，并留适当的余量。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f) 必须有可靠保护接地，地线采用绿黄色外保护层的专用线。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  主要部件要求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3.4.1  燃烧装置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燃烧装置采用耐热不锈钢或耐热铸铁制成。耐热不锈钢采用06Cr25Ni20或耐热性能更优材质，实际厚度≥3.5 mm；耐热铸铁采用RTCr16或耐热性能更优材质，实际厚度≥6.0 mm。设置清灰装置，保证燃烧系统正常配风。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喷火管可分为内、外两层。内层采用耐热不锈钢或耐热铸铁制成，耐热不锈钢采用06Cr25Ni20或耐热性能更优材质，实际厚度≥3.5 mm；耐热铸铁采用RTCr16或耐热性能更优材质，实际厚度≥6.0 mm。外层采用耐热不锈钢12Cr17Mn6Ni5N或耐热性能更优材质制作，实际厚度≥2.0 mm。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喷火管长度≥450 mm，内径≥165 mm（或者喷火管内截面面积≥21000 mm</w:t>
      </w:r>
      <w:r>
        <w:rPr>
          <w:rFonts w:hint="eastAsia" w:ascii="宋体" w:hAnsi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sz w:val="24"/>
          <w:szCs w:val="24"/>
        </w:rPr>
        <w:t>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3.4.2  观火器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在燃烧机机架上应设有观察燃烧状态的观火器。观火器一端与燃烧系统连接可靠，另一端设有可视透片，透片材料采用钢化玻璃并可方便更换。观火器钢化玻璃有效面直径≥Φ20 mm。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3.4.3  密封板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燃烧系统配有与炉门框尺寸相匹配的密封板，确保平齐牢固并密封，不向外冒烟、冒火。</w:t>
      </w:r>
      <w:bookmarkStart w:id="3" w:name="_GoBack"/>
      <w:bookmarkEnd w:id="3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（1）材质与规格：燃烧机配有与炉门框尺寸相匹配的密封板。密封板内空高550 mm、宽500 mm，采用NS耐酸钢，厚度≥4mm，或采用厚度12Cr17Mn6Ni5N不锈钢或耐热性能更优材质制作，厚度≥2 mm。密封板内侧衬垫保温材料，厚度≥30mm。密封板至喷火管出口端有效长度≥450 mm、截面不超过Φ250 mm（圆形）或者宽350 mm×高250 mm（方形）。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（2）固定方式。密封板设计有与炉门框牢固连接部件，该部件安装灵活、可拆卸，固定点不少于4个。密封板拆卸后不影响原有炉门的正常使用；密封板设计有与燃烧机机架固定装置，连接牢固。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3.4.4  点火器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采用电子式热空气点火方式，有防触电保护；发热体采用氮化硅(Si3N4)或碳化硅(SiC)陶瓷材料，加外套管防护；供电采用1.0 mm</w:t>
      </w:r>
      <w:r>
        <w:rPr>
          <w:rFonts w:hint="eastAsia" w:ascii="宋体" w:hAnsi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sz w:val="24"/>
          <w:szCs w:val="24"/>
        </w:rPr>
        <w:t>铜芯耐高温不燃电线；连接可靠，拆卸方便；并要求具有防灰功能。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3.4.5  贮料箱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贮料箱箱体主要材质应采用Q235，符合GB/T 700的规定，材料实际厚度≥1.2 mm。箱体内壁光滑，无死角，便于燃料滑落，下料斜面与水平面夹角≥40°，不得卡料；箱体设有料位观察窗、撤料口和箱盖。撤料口设计合理，撤料方便。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料位观察窗有效观察面面积高度≥150 mm、宽度≥30 mm，窗体透明材料采用钢化玻璃或有机玻璃并方便更换。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箱盖能覆盖整个贮料箱顶部，箱盖上应配置拉手和锁扣。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3.4.6  螺旋送料器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采用螺旋绞龙输送方式，送料器设有防回火结构，防止回火引燃贮料箱中物料，有防倒烟功能，避免烟气倒流。设置反转功能。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螺旋材料：轴采用45钢或40Cr，叶片采用45钢，壳体采用Q235；螺旋叶片外径≥70 mm，叶片实际厚度≥3 mm，叶片与外壳内壁底部间距≤4 mm。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螺旋轴端宜采用减速器直接驱动，设置多级火力控制档位，满足控火精度要求。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3.4.7  送风装置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风机采用直流无刷风机或离心风机，可变风量、风压，基本型式、尺寸参数及性能曲线符合GB/T 3235的规定。风量≥150 m</w:t>
      </w:r>
      <w:r>
        <w:rPr>
          <w:rFonts w:hint="eastAsia" w:ascii="宋体" w:hAnsi="宋体" w:cs="宋体"/>
          <w:sz w:val="24"/>
          <w:szCs w:val="24"/>
          <w:vertAlign w:val="superscript"/>
        </w:rPr>
        <w:t>3</w:t>
      </w:r>
      <w:r>
        <w:rPr>
          <w:rFonts w:hint="eastAsia" w:ascii="宋体" w:hAnsi="宋体" w:cs="宋体"/>
          <w:sz w:val="24"/>
          <w:szCs w:val="24"/>
        </w:rPr>
        <w:t>/h，风压≥350 Pa。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风机电机绝缘等级F级，防护等级IP54，并配有防护罩。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3.4.8  清灰除焦器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该装置在正常工作状态下能自动将燃料燃烧产生的灰渣、焦渣排出燃烧装置外，选用螺旋绞龙、链条炉排或推杆清灰除焦方式。位于燃烧装置内的零部件，材质耐热性能不低于06Cr25Ni20不锈钢。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3.4.9  支架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支撑柱体采用Q235A型材或热轧板制作，壁厚≥2 mm；底部安装4个360°旋转万向脚轮，轮子直径≥75 mm，单轮承重≥100 kg，整机推动灵活，后轮带刹车功能；脚轮座与机架承重立柱通过螺杆连接，可通过调节螺杆调整机架高度，螺杆直径≥24 mm，螺杆调节高度以出火口为中心上下调节1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0 mm。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40" w:lineRule="exact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3.4.10  箱体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箱体支撑结构件采用Q235A型材或热轧板制作，壁厚≥2 mm。其它外壳板采用冷轧板制作，实际厚度≥1.0 mm。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箱体外壳设有检修门，方便设备维修，并设有锁扣。检修门材质与外壳体一致，实际厚度≥1.2 mm。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箱体外部设置有推拉手柄,方便移动。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4531"/>
    <w:rsid w:val="49E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2722</Words>
  <Characters>3169</Characters>
  <Lines>0</Lines>
  <Paragraphs>0</Paragraphs>
  <TotalTime>14</TotalTime>
  <ScaleCrop>false</ScaleCrop>
  <LinksUpToDate>false</LinksUpToDate>
  <CharactersWithSpaces>3335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2020-09-15T07:41:00Z</dcterms:created>
  <dc:creator>MRyu</dc:creator>
  <cp:lastModifiedBy>MRyu</cp:lastModifiedBy>
  <dcterms:modified xsi:type="dcterms:W3CDTF">2020-09-15T07:57:06Z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