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Pr>
        <w:pStyle w:val="2"/>
        <w:tabs>
          <w:tab w:val="left" w:pos="0"/>
          <w:tab w:val="clear" w:pos="630"/>
        </w:tabs>
        <w:spacing w:before="312"/>
        <w:ind w:firstLine="0"/>
        <w:jc w:val="center"/>
        <w:rPr>
          <w:rFonts w:ascii="宋体" w:hAnsi="宋体" w:eastAsia="宋体" w:cs="Times New Roman"/>
          <w:b/>
          <w:bCs/>
          <w:sz w:val="44"/>
          <w:szCs w:val="44"/>
        </w:rPr>
      </w:pPr>
      <w:bookmarkStart w:id="0" w:name="_Toc420921062"/>
      <w:r>
        <w:rPr>
          <w:rFonts w:hint="eastAsia" w:ascii="宋体" w:hAnsi="宋体" w:eastAsia="宋体" w:cs="宋体"/>
          <w:b/>
          <w:bCs/>
          <w:sz w:val="44"/>
          <w:szCs w:val="44"/>
        </w:rPr>
        <w:t>五、项目的技术要求</w:t>
      </w:r>
      <w:bookmarkEnd w:id="0"/>
    </w:p>
    <w:p>
      <w:pPr>
        <w:pStyle w:val="26"/>
        <w:kinsoku w:val="0"/>
        <w:overflowPunct w:val="0"/>
        <w:spacing w:line="436" w:lineRule="exact"/>
        <w:rPr>
          <w:rFonts w:hint="default"/>
        </w:rPr>
      </w:pPr>
      <w:r>
        <w:rPr>
          <w:rFonts w:ascii="宋体" w:hAnsi="宋体" w:cs="宋体"/>
          <w:b/>
          <w:bCs/>
          <w:szCs w:val="30"/>
        </w:rPr>
        <w:t xml:space="preserve">    </w:t>
      </w:r>
      <w:r>
        <w:rPr>
          <w:rFonts w:hint="default" w:ascii="Cambria" w:hAnsi="Cambria" w:eastAsia="Cambria"/>
          <w:spacing w:val="-1"/>
        </w:rPr>
        <w:t>2</w:t>
      </w:r>
      <w:r>
        <w:rPr>
          <w:rFonts w:hint="default" w:ascii="Cambria" w:hAnsi="Cambria" w:eastAsia="Cambria"/>
        </w:rPr>
        <w:t>.</w:t>
      </w:r>
      <w:r>
        <w:rPr>
          <w:rFonts w:hint="default" w:ascii="Cambria" w:hAnsi="Cambria" w:eastAsia="Cambria"/>
          <w:spacing w:val="-1"/>
        </w:rPr>
        <w:t>1</w:t>
      </w:r>
      <w:r>
        <w:rPr>
          <w:rFonts w:hint="default" w:ascii="Cambria" w:hAnsi="Cambria" w:eastAsia="Cambria"/>
        </w:rPr>
        <w:t>.</w:t>
      </w:r>
      <w:r>
        <w:rPr>
          <w:rFonts w:hint="default" w:ascii="Cambria" w:hAnsi="Cambria" w:eastAsia="Cambria"/>
          <w:spacing w:val="41"/>
        </w:rPr>
        <w:t xml:space="preserve"> </w:t>
      </w:r>
      <w:r>
        <w:rPr>
          <w:spacing w:val="2"/>
        </w:rPr>
        <w:t>需</w:t>
      </w:r>
      <w:r>
        <w:t>求</w:t>
      </w:r>
      <w:r>
        <w:rPr>
          <w:spacing w:val="2"/>
        </w:rPr>
        <w:t>综</w:t>
      </w:r>
      <w:r>
        <w:t>述</w:t>
      </w:r>
    </w:p>
    <w:p>
      <w:pPr>
        <w:kinsoku w:val="0"/>
        <w:overflowPunct w:val="0"/>
        <w:spacing w:before="10" w:line="150" w:lineRule="exact"/>
        <w:rPr>
          <w:sz w:val="15"/>
        </w:rPr>
      </w:pPr>
    </w:p>
    <w:p>
      <w:pPr>
        <w:kinsoku w:val="0"/>
        <w:overflowPunct w:val="0"/>
        <w:spacing w:line="200" w:lineRule="exact"/>
        <w:rPr>
          <w:sz w:val="20"/>
        </w:rPr>
      </w:pPr>
    </w:p>
    <w:p>
      <w:pPr>
        <w:spacing w:before="0" w:after="0" w:line="360" w:lineRule="auto"/>
        <w:ind w:left="0" w:firstLine="425" w:firstLineChars="177"/>
        <w:rPr>
          <w:rFonts w:ascii="宋体" w:hAnsi="宋体" w:cs="宋体"/>
          <w:sz w:val="24"/>
          <w:szCs w:val="24"/>
        </w:rPr>
      </w:pPr>
      <w:r>
        <w:rPr>
          <w:rFonts w:hint="eastAsia" w:ascii="宋体" w:hAnsi="宋体" w:cs="宋体"/>
          <w:sz w:val="24"/>
          <w:szCs w:val="24"/>
        </w:rPr>
        <w:t>按照交易类型划分，县级公共资源交易可分为建设工程交易、政府采购和 土地与矿产权交易等三大类业务。</w:t>
      </w:r>
    </w:p>
    <w:p>
      <w:pPr>
        <w:spacing w:before="0" w:after="0" w:line="360" w:lineRule="auto"/>
        <w:ind w:left="0" w:firstLine="425" w:firstLineChars="177"/>
        <w:rPr>
          <w:rFonts w:ascii="宋体" w:hAnsi="宋体" w:cs="宋体"/>
          <w:sz w:val="24"/>
          <w:szCs w:val="24"/>
        </w:rPr>
      </w:pPr>
      <w:r>
        <w:rPr>
          <w:rFonts w:hint="eastAsia" w:ascii="宋体" w:hAnsi="宋体" w:cs="宋体"/>
          <w:sz w:val="24"/>
          <w:szCs w:val="24"/>
        </w:rPr>
        <w:t>建设工程交易包括房屋建筑、市政基础设施、道路桥梁、电力、水利等工程 的勘察、设计、施工、监理以及与工程相关材料、货物的采购等。</w:t>
      </w:r>
    </w:p>
    <w:p>
      <w:pPr>
        <w:spacing w:before="0" w:after="0" w:line="360" w:lineRule="auto"/>
        <w:ind w:left="0" w:firstLine="425" w:firstLineChars="177"/>
        <w:rPr>
          <w:rFonts w:ascii="宋体" w:hAnsi="宋体" w:cs="宋体"/>
          <w:sz w:val="24"/>
          <w:szCs w:val="24"/>
        </w:rPr>
      </w:pPr>
      <w:r>
        <w:rPr>
          <w:rFonts w:hint="eastAsia" w:ascii="宋体" w:hAnsi="宋体" w:cs="宋体"/>
          <w:sz w:val="24"/>
          <w:szCs w:val="24"/>
        </w:rPr>
        <w:t>政府采购项目分为工程类、货物类、服务类等，其中包括药械采购。 土地与矿产权交易主要是针对国有建设用地使用权、矿业权和国有资产的交</w:t>
      </w:r>
    </w:p>
    <w:p>
      <w:pPr>
        <w:spacing w:before="0" w:after="0" w:line="360" w:lineRule="auto"/>
        <w:ind w:left="0" w:firstLine="425" w:firstLineChars="177"/>
        <w:rPr>
          <w:rFonts w:ascii="宋体" w:hAnsi="宋体" w:cs="宋体"/>
          <w:sz w:val="24"/>
          <w:szCs w:val="24"/>
        </w:rPr>
      </w:pPr>
      <w:r>
        <w:rPr>
          <w:rFonts w:hint="eastAsia" w:ascii="宋体" w:hAnsi="宋体" w:cs="宋体"/>
          <w:sz w:val="24"/>
          <w:szCs w:val="24"/>
        </w:rPr>
        <w:t xml:space="preserve">易。县级土地与矿产权交易系统已于 </w:t>
      </w:r>
      <w:r>
        <w:rPr>
          <w:rFonts w:ascii="宋体" w:hAnsi="宋体" w:cs="宋体"/>
          <w:sz w:val="24"/>
          <w:szCs w:val="24"/>
        </w:rPr>
        <w:t xml:space="preserve">2011 </w:t>
      </w:r>
      <w:r>
        <w:rPr>
          <w:rFonts w:hint="eastAsia" w:ascii="宋体" w:hAnsi="宋体" w:cs="宋体"/>
          <w:sz w:val="24"/>
          <w:szCs w:val="24"/>
        </w:rPr>
        <w:t xml:space="preserve">年 </w:t>
      </w:r>
      <w:r>
        <w:rPr>
          <w:rFonts w:ascii="宋体" w:hAnsi="宋体" w:cs="宋体"/>
          <w:sz w:val="24"/>
          <w:szCs w:val="24"/>
        </w:rPr>
        <w:t xml:space="preserve">10 </w:t>
      </w:r>
      <w:r>
        <w:rPr>
          <w:rFonts w:hint="eastAsia" w:ascii="宋体" w:hAnsi="宋体" w:cs="宋体"/>
          <w:sz w:val="24"/>
          <w:szCs w:val="24"/>
        </w:rPr>
        <w:t>月底前建设完成，在本方案中 就不做详细介绍。</w:t>
      </w:r>
    </w:p>
    <w:p>
      <w:pPr>
        <w:spacing w:before="0" w:after="0" w:line="360" w:lineRule="auto"/>
        <w:ind w:left="0" w:firstLine="425" w:firstLineChars="177"/>
        <w:rPr>
          <w:rFonts w:ascii="宋体" w:hAnsi="宋体" w:cs="宋体"/>
          <w:sz w:val="24"/>
          <w:szCs w:val="24"/>
        </w:rPr>
      </w:pPr>
      <w:r>
        <w:rPr>
          <w:rFonts w:hint="eastAsia" w:ascii="宋体" w:hAnsi="宋体" w:cs="宋体"/>
          <w:sz w:val="24"/>
          <w:szCs w:val="24"/>
        </w:rPr>
        <w:t>在本章中，将重点介绍建设工程交易和政府采购两大类业务。</w:t>
      </w:r>
    </w:p>
    <w:p>
      <w:pPr>
        <w:kinsoku w:val="0"/>
        <w:overflowPunct w:val="0"/>
        <w:spacing w:before="2" w:line="130" w:lineRule="exact"/>
        <w:rPr>
          <w:sz w:val="13"/>
        </w:rPr>
      </w:pPr>
    </w:p>
    <w:p>
      <w:pPr>
        <w:kinsoku w:val="0"/>
        <w:overflowPunct w:val="0"/>
        <w:spacing w:line="200" w:lineRule="exact"/>
        <w:rPr>
          <w:sz w:val="20"/>
        </w:rPr>
      </w:pPr>
    </w:p>
    <w:p>
      <w:pPr>
        <w:pStyle w:val="26"/>
        <w:kinsoku w:val="0"/>
        <w:overflowPunct w:val="0"/>
        <w:rPr>
          <w:rFonts w:hint="default"/>
        </w:rPr>
      </w:pPr>
      <w:r>
        <w:rPr>
          <w:rFonts w:hint="default" w:ascii="Cambria" w:hAnsi="Cambria" w:eastAsia="Cambria"/>
          <w:spacing w:val="-1"/>
        </w:rPr>
        <w:t>2</w:t>
      </w:r>
      <w:r>
        <w:rPr>
          <w:rFonts w:hint="default" w:ascii="Cambria" w:hAnsi="Cambria" w:eastAsia="Cambria"/>
        </w:rPr>
        <w:t>.</w:t>
      </w:r>
      <w:r>
        <w:rPr>
          <w:rFonts w:hint="default" w:ascii="Cambria" w:hAnsi="Cambria" w:eastAsia="Cambria"/>
          <w:spacing w:val="-1"/>
        </w:rPr>
        <w:t>2</w:t>
      </w:r>
      <w:r>
        <w:rPr>
          <w:rFonts w:hint="default" w:ascii="Cambria" w:hAnsi="Cambria" w:eastAsia="Cambria"/>
        </w:rPr>
        <w:t>.</w:t>
      </w:r>
      <w:r>
        <w:rPr>
          <w:rFonts w:hint="default" w:ascii="Cambria" w:hAnsi="Cambria" w:eastAsia="Cambria"/>
          <w:spacing w:val="35"/>
        </w:rPr>
        <w:t xml:space="preserve"> </w:t>
      </w:r>
      <w:r>
        <w:rPr>
          <w:spacing w:val="2"/>
        </w:rPr>
        <w:t>建</w:t>
      </w:r>
      <w:r>
        <w:t>设</w:t>
      </w:r>
      <w:r>
        <w:rPr>
          <w:spacing w:val="2"/>
        </w:rPr>
        <w:t>工</w:t>
      </w:r>
      <w:r>
        <w:t>程</w:t>
      </w:r>
      <w:r>
        <w:rPr>
          <w:spacing w:val="2"/>
        </w:rPr>
        <w:t>交</w:t>
      </w:r>
      <w:r>
        <w:t>易</w:t>
      </w:r>
    </w:p>
    <w:p>
      <w:pPr>
        <w:kinsoku w:val="0"/>
        <w:overflowPunct w:val="0"/>
        <w:spacing w:before="7" w:line="150" w:lineRule="exact"/>
        <w:rPr>
          <w:sz w:val="15"/>
        </w:rPr>
      </w:pPr>
    </w:p>
    <w:p>
      <w:pPr>
        <w:spacing w:before="0" w:after="0" w:line="360" w:lineRule="auto"/>
        <w:ind w:left="0" w:firstLine="425" w:firstLineChars="177"/>
        <w:rPr>
          <w:rFonts w:ascii="宋体" w:hAnsi="宋体" w:cs="宋体"/>
          <w:sz w:val="24"/>
          <w:szCs w:val="24"/>
        </w:rPr>
      </w:pPr>
    </w:p>
    <w:p>
      <w:pPr>
        <w:spacing w:before="0" w:after="0" w:line="360" w:lineRule="auto"/>
        <w:ind w:left="0" w:firstLine="425" w:firstLineChars="177"/>
        <w:rPr>
          <w:rFonts w:ascii="宋体" w:hAnsi="宋体" w:cs="宋体"/>
          <w:sz w:val="24"/>
          <w:szCs w:val="24"/>
        </w:rPr>
      </w:pPr>
      <w:r>
        <w:rPr>
          <w:rFonts w:hint="eastAsia" w:ascii="宋体" w:hAnsi="宋体" w:cs="宋体"/>
          <w:sz w:val="24"/>
          <w:szCs w:val="24"/>
        </w:rPr>
        <w:t>建设项目交易业务管理系统的功能，涵盖了交易业务的全部流程，支持各种 工程类别、多种采购模式，兼容多种评标方法，各参与部门、人员可以有各自的 账号，登陆系统的内网、外网，协调完成自己的工作。</w:t>
      </w:r>
    </w:p>
    <w:p>
      <w:pPr>
        <w:kinsoku w:val="0"/>
        <w:overflowPunct w:val="0"/>
        <w:spacing w:before="3" w:line="120" w:lineRule="exact"/>
        <w:rPr>
          <w:sz w:val="12"/>
        </w:rPr>
      </w:pPr>
    </w:p>
    <w:p>
      <w:pPr>
        <w:kinsoku w:val="0"/>
        <w:overflowPunct w:val="0"/>
        <w:spacing w:line="200" w:lineRule="exact"/>
        <w:rPr>
          <w:sz w:val="20"/>
        </w:rPr>
      </w:pPr>
    </w:p>
    <w:p>
      <w:pPr>
        <w:pStyle w:val="26"/>
        <w:kinsoku w:val="0"/>
        <w:overflowPunct w:val="0"/>
        <w:spacing w:line="438" w:lineRule="exact"/>
        <w:ind w:left="0" w:firstLine="0"/>
        <w:rPr>
          <w:rFonts w:hint="default"/>
        </w:rPr>
      </w:pPr>
      <w:r>
        <w:rPr>
          <w:rFonts w:hint="default" w:ascii="Calibri" w:hAnsi="Calibri" w:eastAsia="Calibri"/>
          <w:spacing w:val="-1"/>
        </w:rPr>
        <w:t>2.2</w:t>
      </w:r>
      <w:r>
        <w:rPr>
          <w:rFonts w:hint="default" w:ascii="Calibri" w:hAnsi="Calibri" w:eastAsia="Calibri"/>
        </w:rPr>
        <w:t>.</w:t>
      </w:r>
      <w:r>
        <w:rPr>
          <w:rFonts w:hint="default" w:ascii="Calibri" w:hAnsi="Calibri" w:eastAsia="Calibri"/>
          <w:spacing w:val="-1"/>
        </w:rPr>
        <w:t>1</w:t>
      </w:r>
      <w:r>
        <w:rPr>
          <w:rFonts w:hint="default" w:ascii="Calibri" w:hAnsi="Calibri" w:eastAsia="Calibri"/>
        </w:rPr>
        <w:t>.</w:t>
      </w:r>
      <w:r>
        <w:rPr>
          <w:rFonts w:hint="default" w:ascii="Calibri" w:hAnsi="Calibri" w:eastAsia="Calibri"/>
          <w:spacing w:val="-6"/>
        </w:rPr>
        <w:t xml:space="preserve"> </w:t>
      </w:r>
      <w:r>
        <w:rPr>
          <w:spacing w:val="2"/>
        </w:rPr>
        <w:t>建</w:t>
      </w:r>
      <w:r>
        <w:t>设</w:t>
      </w:r>
      <w:r>
        <w:rPr>
          <w:spacing w:val="2"/>
        </w:rPr>
        <w:t>项</w:t>
      </w:r>
      <w:r>
        <w:t>目</w:t>
      </w:r>
      <w:r>
        <w:rPr>
          <w:spacing w:val="2"/>
        </w:rPr>
        <w:t>交</w:t>
      </w:r>
      <w:r>
        <w:t>易</w:t>
      </w:r>
      <w:r>
        <w:rPr>
          <w:spacing w:val="2"/>
        </w:rPr>
        <w:t>受</w:t>
      </w:r>
      <w:r>
        <w:t>理</w:t>
      </w:r>
      <w:r>
        <w:rPr>
          <w:spacing w:val="2"/>
        </w:rPr>
        <w:t>登</w:t>
      </w:r>
      <w:r>
        <w:t>记</w:t>
      </w:r>
    </w:p>
    <w:p>
      <w:pPr>
        <w:kinsoku w:val="0"/>
        <w:overflowPunct w:val="0"/>
        <w:spacing w:before="7" w:line="150" w:lineRule="exact"/>
        <w:rPr>
          <w:sz w:val="15"/>
        </w:rPr>
      </w:pPr>
    </w:p>
    <w:p>
      <w:pPr>
        <w:kinsoku w:val="0"/>
        <w:overflowPunct w:val="0"/>
        <w:spacing w:line="200" w:lineRule="exact"/>
        <w:rPr>
          <w:sz w:val="20"/>
        </w:rPr>
      </w:pPr>
    </w:p>
    <w:p>
      <w:pPr>
        <w:pStyle w:val="8"/>
        <w:kinsoku w:val="0"/>
        <w:overflowPunct w:val="0"/>
        <w:spacing w:line="274" w:lineRule="auto"/>
        <w:ind w:left="120" w:right="853" w:firstLine="480"/>
        <w:jc w:val="both"/>
        <w:rPr>
          <w:sz w:val="24"/>
        </w:rPr>
      </w:pPr>
      <w:r>
        <w:rPr>
          <w:rFonts w:hint="eastAsia" w:ascii="宋体" w:hAnsi="宋体" w:cs="宋体"/>
          <w:sz w:val="24"/>
          <w:szCs w:val="24"/>
        </w:rPr>
        <w:t>招标单位进行工程项目报建后，各级监督管理部门对其进行审核、审批，</w:t>
      </w:r>
      <w:r>
        <w:rPr>
          <w:rFonts w:hint="eastAsia"/>
          <w:w w:val="95"/>
          <w:sz w:val="24"/>
        </w:rPr>
        <w:t>确</w:t>
      </w:r>
      <w:r>
        <w:rPr>
          <w:rFonts w:hint="eastAsia"/>
          <w:w w:val="99"/>
          <w:sz w:val="24"/>
        </w:rPr>
        <w:t xml:space="preserve"> </w:t>
      </w:r>
      <w:r>
        <w:rPr>
          <w:rFonts w:hint="eastAsia"/>
          <w:sz w:val="24"/>
        </w:rPr>
        <w:t>认后，招投标中心将该项目登记进入系统。项目的交易程序启动。</w:t>
      </w:r>
    </w:p>
    <w:p>
      <w:pPr>
        <w:kinsoku w:val="0"/>
        <w:overflowPunct w:val="0"/>
        <w:spacing w:before="6" w:line="280" w:lineRule="exact"/>
        <w:rPr>
          <w:sz w:val="28"/>
        </w:rPr>
      </w:pPr>
    </w:p>
    <w:p>
      <w:pPr>
        <w:pStyle w:val="26"/>
        <w:kinsoku w:val="0"/>
        <w:overflowPunct w:val="0"/>
        <w:rPr>
          <w:rFonts w:hint="default"/>
        </w:rPr>
      </w:pPr>
      <w:r>
        <w:rPr>
          <w:rFonts w:hint="default" w:ascii="Calibri" w:hAnsi="Calibri" w:eastAsia="Calibri"/>
          <w:spacing w:val="-1"/>
        </w:rPr>
        <w:t>2.2</w:t>
      </w:r>
      <w:r>
        <w:rPr>
          <w:rFonts w:hint="default" w:ascii="Calibri" w:hAnsi="Calibri" w:eastAsia="Calibri"/>
        </w:rPr>
        <w:t>.</w:t>
      </w:r>
      <w:r>
        <w:rPr>
          <w:rFonts w:hint="default" w:ascii="Calibri" w:hAnsi="Calibri" w:eastAsia="Calibri"/>
          <w:spacing w:val="-1"/>
        </w:rPr>
        <w:t>2</w:t>
      </w:r>
      <w:r>
        <w:rPr>
          <w:rFonts w:hint="default" w:ascii="Calibri" w:hAnsi="Calibri" w:eastAsia="Calibri"/>
        </w:rPr>
        <w:t>.</w:t>
      </w:r>
      <w:r>
        <w:rPr>
          <w:rFonts w:hint="default" w:ascii="Calibri" w:hAnsi="Calibri" w:eastAsia="Calibri"/>
          <w:spacing w:val="6"/>
        </w:rPr>
        <w:t xml:space="preserve"> </w:t>
      </w:r>
      <w:r>
        <w:rPr>
          <w:spacing w:val="2"/>
        </w:rPr>
        <w:t>发</w:t>
      </w:r>
      <w:r>
        <w:t>布</w:t>
      </w:r>
      <w:r>
        <w:rPr>
          <w:spacing w:val="2"/>
        </w:rPr>
        <w:t>招</w:t>
      </w:r>
      <w:r>
        <w:t>标</w:t>
      </w:r>
      <w:r>
        <w:rPr>
          <w:spacing w:val="2"/>
        </w:rPr>
        <w:t>信</w:t>
      </w:r>
      <w:r>
        <w:t>息</w:t>
      </w:r>
    </w:p>
    <w:p>
      <w:pPr>
        <w:kinsoku w:val="0"/>
        <w:overflowPunct w:val="0"/>
        <w:spacing w:before="5" w:line="150" w:lineRule="exact"/>
        <w:rPr>
          <w:sz w:val="15"/>
        </w:rPr>
      </w:pPr>
    </w:p>
    <w:p>
      <w:pPr>
        <w:kinsoku w:val="0"/>
        <w:overflowPunct w:val="0"/>
        <w:spacing w:line="200" w:lineRule="exact"/>
        <w:rPr>
          <w:sz w:val="20"/>
        </w:rPr>
      </w:pPr>
    </w:p>
    <w:p>
      <w:pPr>
        <w:pStyle w:val="8"/>
        <w:kinsoku w:val="0"/>
        <w:overflowPunct w:val="0"/>
        <w:spacing w:line="274" w:lineRule="auto"/>
        <w:ind w:left="120" w:right="853" w:firstLine="480"/>
        <w:jc w:val="both"/>
        <w:rPr>
          <w:rFonts w:ascii="宋体" w:hAnsi="宋体" w:cs="宋体"/>
          <w:sz w:val="24"/>
          <w:szCs w:val="24"/>
        </w:rPr>
      </w:pPr>
      <w:r>
        <w:rPr>
          <w:rFonts w:hint="eastAsia" w:ascii="宋体" w:hAnsi="宋体" w:cs="宋体"/>
          <w:sz w:val="24"/>
          <w:szCs w:val="24"/>
        </w:rPr>
        <w:t>招标单位（或代理机构）制作招标公告，确定招投标日程，经中心进行审核 后，招投标信息在中心的网站上、其他的媒体上正式发布。</w:t>
      </w:r>
    </w:p>
    <w:p>
      <w:pPr>
        <w:pStyle w:val="8"/>
        <w:kinsoku w:val="0"/>
        <w:overflowPunct w:val="0"/>
        <w:spacing w:line="274" w:lineRule="auto"/>
        <w:ind w:left="120" w:right="853" w:firstLine="480"/>
        <w:jc w:val="both"/>
        <w:rPr>
          <w:rFonts w:ascii="宋体" w:hAnsi="宋体" w:cs="宋体"/>
          <w:sz w:val="24"/>
          <w:szCs w:val="24"/>
        </w:rPr>
      </w:pPr>
      <w:r>
        <w:rPr>
          <w:rFonts w:hint="eastAsia" w:ascii="宋体" w:hAnsi="宋体" w:cs="宋体"/>
          <w:sz w:val="24"/>
          <w:szCs w:val="24"/>
        </w:rPr>
        <w:t>对未有报名企业的招标标段、响应企业不足三家的招标标段、招标失败的标 段可以重新发布招投标信息。</w:t>
      </w:r>
    </w:p>
    <w:p>
      <w:pPr>
        <w:kinsoku w:val="0"/>
        <w:overflowPunct w:val="0"/>
        <w:spacing w:before="6" w:line="280" w:lineRule="exact"/>
        <w:rPr>
          <w:sz w:val="28"/>
        </w:rPr>
      </w:pPr>
    </w:p>
    <w:p>
      <w:pPr>
        <w:pStyle w:val="26"/>
        <w:kinsoku w:val="0"/>
        <w:overflowPunct w:val="0"/>
        <w:rPr>
          <w:rFonts w:hint="default"/>
        </w:rPr>
      </w:pPr>
      <w:r>
        <w:rPr>
          <w:rFonts w:hint="default" w:ascii="Calibri" w:hAnsi="Calibri" w:eastAsia="Calibri"/>
          <w:spacing w:val="-1"/>
        </w:rPr>
        <w:t>2.2</w:t>
      </w:r>
      <w:r>
        <w:rPr>
          <w:rFonts w:hint="default" w:ascii="Calibri" w:hAnsi="Calibri" w:eastAsia="Calibri"/>
        </w:rPr>
        <w:t>.</w:t>
      </w:r>
      <w:r>
        <w:rPr>
          <w:rFonts w:hint="default" w:ascii="Calibri" w:hAnsi="Calibri" w:eastAsia="Calibri"/>
          <w:spacing w:val="-1"/>
        </w:rPr>
        <w:t>3</w:t>
      </w:r>
      <w:r>
        <w:rPr>
          <w:rFonts w:hint="default" w:ascii="Calibri" w:hAnsi="Calibri" w:eastAsia="Calibri"/>
        </w:rPr>
        <w:t>.</w:t>
      </w:r>
      <w:r>
        <w:rPr>
          <w:rFonts w:hint="default" w:ascii="Calibri" w:hAnsi="Calibri" w:eastAsia="Calibri"/>
          <w:spacing w:val="3"/>
        </w:rPr>
        <w:t xml:space="preserve"> </w:t>
      </w:r>
      <w:r>
        <w:rPr>
          <w:spacing w:val="2"/>
        </w:rPr>
        <w:t>报</w:t>
      </w:r>
      <w:r>
        <w:t>名</w:t>
      </w:r>
      <w:r>
        <w:rPr>
          <w:spacing w:val="2"/>
        </w:rPr>
        <w:t>和</w:t>
      </w:r>
      <w:r>
        <w:t>资</w:t>
      </w:r>
      <w:r>
        <w:rPr>
          <w:spacing w:val="2"/>
        </w:rPr>
        <w:t>格</w:t>
      </w:r>
      <w:r>
        <w:t>预审</w:t>
      </w:r>
    </w:p>
    <w:p>
      <w:pPr>
        <w:pStyle w:val="8"/>
        <w:kinsoku w:val="0"/>
        <w:overflowPunct w:val="0"/>
        <w:spacing w:line="274" w:lineRule="auto"/>
        <w:ind w:right="853" w:firstLine="0"/>
        <w:jc w:val="both"/>
        <w:rPr>
          <w:rFonts w:ascii="宋体" w:hAnsi="宋体" w:cs="宋体"/>
          <w:sz w:val="24"/>
          <w:szCs w:val="24"/>
        </w:rPr>
      </w:pPr>
    </w:p>
    <w:p>
      <w:pPr>
        <w:pStyle w:val="8"/>
        <w:kinsoku w:val="0"/>
        <w:overflowPunct w:val="0"/>
        <w:spacing w:line="274" w:lineRule="auto"/>
        <w:ind w:left="120" w:right="853" w:firstLine="480"/>
        <w:jc w:val="both"/>
        <w:rPr>
          <w:rFonts w:ascii="宋体" w:hAnsi="宋体" w:cs="宋体"/>
          <w:sz w:val="24"/>
          <w:szCs w:val="24"/>
        </w:rPr>
      </w:pPr>
      <w:r>
        <w:rPr>
          <w:rFonts w:hint="eastAsia" w:ascii="宋体" w:hAnsi="宋体" w:cs="宋体"/>
          <w:sz w:val="24"/>
          <w:szCs w:val="24"/>
        </w:rPr>
        <w:t>投标会员单位可以在网上报名，非会员单位到窗口报名。可以使用现场刷卡 报名，或者触摸屏自助报名，或者网上报名的方式进行报名。</w:t>
      </w:r>
    </w:p>
    <w:p>
      <w:pPr>
        <w:pStyle w:val="8"/>
        <w:kinsoku w:val="0"/>
        <w:overflowPunct w:val="0"/>
        <w:spacing w:line="274" w:lineRule="auto"/>
        <w:ind w:left="120" w:right="853" w:firstLine="480"/>
        <w:jc w:val="both"/>
        <w:rPr>
          <w:rFonts w:ascii="宋体" w:hAnsi="宋体" w:cs="宋体"/>
          <w:sz w:val="24"/>
          <w:szCs w:val="24"/>
        </w:rPr>
      </w:pPr>
      <w:r>
        <w:rPr>
          <w:rFonts w:hint="eastAsia" w:ascii="宋体" w:hAnsi="宋体" w:cs="宋体"/>
          <w:sz w:val="24"/>
          <w:szCs w:val="24"/>
        </w:rPr>
        <w:t>如果项目需要资格预审，招标单位（或代理机构）就可以在网上进行资格预 审，对登记的报名企业的资料进行查询审核，不符合条件的企业自动预警。管理 部门对预审结果进行确认，最终结果可以通过系统的短信、邮件、电话以及网上 公告，自动通知到报名企业。</w:t>
      </w:r>
    </w:p>
    <w:p>
      <w:pPr>
        <w:pStyle w:val="26"/>
        <w:kinsoku w:val="0"/>
        <w:overflowPunct w:val="0"/>
        <w:spacing w:line="441" w:lineRule="exact"/>
        <w:ind w:left="0" w:firstLine="0"/>
        <w:rPr>
          <w:rFonts w:hint="default"/>
        </w:rPr>
      </w:pPr>
      <w:r>
        <w:rPr>
          <w:rFonts w:hint="default" w:ascii="Calibri" w:hAnsi="Calibri" w:eastAsia="Calibri"/>
          <w:spacing w:val="-1"/>
        </w:rPr>
        <w:t>2.2</w:t>
      </w:r>
      <w:r>
        <w:rPr>
          <w:rFonts w:hint="default" w:ascii="Calibri" w:hAnsi="Calibri" w:eastAsia="Calibri"/>
        </w:rPr>
        <w:t>.</w:t>
      </w:r>
      <w:r>
        <w:rPr>
          <w:rFonts w:hint="default" w:ascii="Calibri" w:hAnsi="Calibri" w:eastAsia="Calibri"/>
          <w:spacing w:val="-1"/>
        </w:rPr>
        <w:t>4</w:t>
      </w:r>
      <w:r>
        <w:rPr>
          <w:rFonts w:hint="default" w:ascii="Calibri" w:hAnsi="Calibri" w:eastAsia="Calibri"/>
        </w:rPr>
        <w:t>.</w:t>
      </w:r>
      <w:r>
        <w:rPr>
          <w:rFonts w:hint="default" w:ascii="Calibri" w:hAnsi="Calibri" w:eastAsia="Calibri"/>
          <w:spacing w:val="-3"/>
        </w:rPr>
        <w:t xml:space="preserve"> </w:t>
      </w:r>
      <w:r>
        <w:rPr>
          <w:spacing w:val="2"/>
        </w:rPr>
        <w:t>招</w:t>
      </w:r>
      <w:r>
        <w:t>标</w:t>
      </w:r>
      <w:r>
        <w:rPr>
          <w:spacing w:val="2"/>
        </w:rPr>
        <w:t>文</w:t>
      </w:r>
      <w:r>
        <w:t>件</w:t>
      </w:r>
      <w:r>
        <w:rPr>
          <w:spacing w:val="2"/>
        </w:rPr>
        <w:t>备</w:t>
      </w:r>
      <w:r>
        <w:t>案</w:t>
      </w:r>
      <w:r>
        <w:rPr>
          <w:spacing w:val="2"/>
        </w:rPr>
        <w:t>和</w:t>
      </w:r>
      <w:r>
        <w:t>发放</w:t>
      </w:r>
    </w:p>
    <w:p>
      <w:pPr>
        <w:kinsoku w:val="0"/>
        <w:overflowPunct w:val="0"/>
        <w:spacing w:before="5" w:line="150" w:lineRule="exact"/>
        <w:rPr>
          <w:sz w:val="15"/>
        </w:rPr>
      </w:pPr>
    </w:p>
    <w:p>
      <w:pPr>
        <w:pStyle w:val="8"/>
        <w:kinsoku w:val="0"/>
        <w:overflowPunct w:val="0"/>
        <w:spacing w:line="274" w:lineRule="auto"/>
        <w:ind w:left="120" w:right="853" w:firstLine="480"/>
        <w:jc w:val="both"/>
        <w:rPr>
          <w:rFonts w:ascii="宋体" w:hAnsi="宋体" w:cs="宋体"/>
          <w:sz w:val="24"/>
          <w:szCs w:val="24"/>
        </w:rPr>
      </w:pPr>
    </w:p>
    <w:p>
      <w:pPr>
        <w:pStyle w:val="8"/>
        <w:kinsoku w:val="0"/>
        <w:overflowPunct w:val="0"/>
        <w:spacing w:line="274" w:lineRule="auto"/>
        <w:ind w:left="120" w:right="853" w:firstLine="480"/>
        <w:jc w:val="both"/>
        <w:rPr>
          <w:rFonts w:ascii="宋体" w:hAnsi="宋体" w:cs="宋体"/>
          <w:sz w:val="24"/>
          <w:szCs w:val="24"/>
        </w:rPr>
      </w:pPr>
      <w:r>
        <w:rPr>
          <w:rFonts w:hint="eastAsia" w:ascii="宋体" w:hAnsi="宋体" w:cs="宋体"/>
          <w:sz w:val="24"/>
          <w:szCs w:val="24"/>
        </w:rPr>
        <w:t>招标单位（或代理机构）拟定招标文件。管理部门对招标文件进行审核，提 出修改意见；并对招标文件备案。备案通过以后招标单位（或代理机构）向中心 提出开标时间和地点的申请，中心根据场地使用情况统一调度。</w:t>
      </w:r>
    </w:p>
    <w:p>
      <w:pPr>
        <w:pStyle w:val="8"/>
        <w:kinsoku w:val="0"/>
        <w:overflowPunct w:val="0"/>
        <w:spacing w:line="274" w:lineRule="auto"/>
        <w:ind w:left="120" w:right="853" w:firstLine="480"/>
        <w:jc w:val="both"/>
        <w:rPr>
          <w:rFonts w:ascii="宋体" w:hAnsi="宋体" w:cs="宋体"/>
          <w:sz w:val="24"/>
          <w:szCs w:val="24"/>
        </w:rPr>
      </w:pPr>
      <w:r>
        <w:rPr>
          <w:rFonts w:hint="eastAsia" w:ascii="宋体" w:hAnsi="宋体" w:cs="宋体"/>
          <w:sz w:val="24"/>
          <w:szCs w:val="24"/>
        </w:rPr>
        <w:t>招投标管理部门通过邮件、电话以及网上发布，通知通过资格预审的企业领 取招标文件。企业领取招标文件时，对发放情况逐一登记。</w:t>
      </w:r>
    </w:p>
    <w:p>
      <w:pPr>
        <w:kinsoku w:val="0"/>
        <w:overflowPunct w:val="0"/>
        <w:spacing w:before="6" w:line="280" w:lineRule="exact"/>
        <w:rPr>
          <w:sz w:val="28"/>
        </w:rPr>
      </w:pPr>
    </w:p>
    <w:p>
      <w:pPr>
        <w:pStyle w:val="26"/>
        <w:numPr>
          <w:ilvl w:val="2"/>
          <w:numId w:val="2"/>
        </w:numPr>
        <w:tabs>
          <w:tab w:val="left" w:pos="900"/>
        </w:tabs>
        <w:kinsoku w:val="0"/>
        <w:overflowPunct w:val="0"/>
        <w:ind w:left="900" w:hanging="780"/>
        <w:rPr>
          <w:rFonts w:hint="default"/>
        </w:rPr>
      </w:pPr>
      <w:r>
        <w:rPr>
          <w:spacing w:val="2"/>
        </w:rPr>
        <w:t>评</w:t>
      </w:r>
      <w:r>
        <w:t>委</w:t>
      </w:r>
      <w:r>
        <w:rPr>
          <w:spacing w:val="2"/>
        </w:rPr>
        <w:t>专</w:t>
      </w:r>
      <w:r>
        <w:t>家</w:t>
      </w:r>
    </w:p>
    <w:p>
      <w:pPr>
        <w:kinsoku w:val="0"/>
        <w:overflowPunct w:val="0"/>
        <w:spacing w:before="7" w:line="150" w:lineRule="exact"/>
        <w:rPr>
          <w:sz w:val="15"/>
        </w:rPr>
      </w:pPr>
    </w:p>
    <w:p>
      <w:pPr>
        <w:pStyle w:val="8"/>
        <w:kinsoku w:val="0"/>
        <w:overflowPunct w:val="0"/>
        <w:spacing w:line="274" w:lineRule="auto"/>
        <w:ind w:left="120" w:right="853" w:firstLine="480"/>
        <w:jc w:val="both"/>
        <w:rPr>
          <w:rFonts w:ascii="宋体" w:hAnsi="宋体" w:cs="宋体"/>
          <w:sz w:val="24"/>
          <w:szCs w:val="24"/>
        </w:rPr>
      </w:pPr>
    </w:p>
    <w:p>
      <w:pPr>
        <w:pStyle w:val="8"/>
        <w:kinsoku w:val="0"/>
        <w:overflowPunct w:val="0"/>
        <w:spacing w:line="274" w:lineRule="auto"/>
        <w:ind w:left="120" w:right="853" w:firstLine="480"/>
        <w:jc w:val="both"/>
        <w:rPr>
          <w:rFonts w:ascii="宋体" w:hAnsi="宋体" w:cs="宋体"/>
          <w:sz w:val="24"/>
          <w:szCs w:val="24"/>
        </w:rPr>
      </w:pPr>
      <w:r>
        <w:rPr>
          <w:rFonts w:hint="eastAsia" w:ascii="宋体" w:hAnsi="宋体" w:cs="宋体"/>
          <w:sz w:val="24"/>
          <w:szCs w:val="24"/>
        </w:rPr>
        <w:t>抽取专家评委。对于常规项目，根据专家的专业、职称、评标次数、以往考 核分数等条件进行随机抽取；对于重点项目，可以组建资深专家组对招标项目进 行评标；根据项目情况不同，也可手工录入评委。</w:t>
      </w:r>
    </w:p>
    <w:p>
      <w:pPr>
        <w:kinsoku w:val="0"/>
        <w:overflowPunct w:val="0"/>
        <w:spacing w:before="6" w:line="280" w:lineRule="exact"/>
        <w:rPr>
          <w:sz w:val="28"/>
        </w:rPr>
      </w:pPr>
    </w:p>
    <w:p>
      <w:pPr>
        <w:pStyle w:val="26"/>
        <w:numPr>
          <w:ilvl w:val="2"/>
          <w:numId w:val="2"/>
        </w:numPr>
        <w:tabs>
          <w:tab w:val="left" w:pos="900"/>
        </w:tabs>
        <w:kinsoku w:val="0"/>
        <w:overflowPunct w:val="0"/>
        <w:ind w:left="900" w:hanging="780"/>
        <w:rPr>
          <w:rFonts w:hint="default"/>
        </w:rPr>
      </w:pPr>
      <w:r>
        <w:rPr>
          <w:spacing w:val="2"/>
        </w:rPr>
        <w:t>开</w:t>
      </w:r>
      <w:r>
        <w:t>标</w:t>
      </w:r>
      <w:r>
        <w:rPr>
          <w:spacing w:val="2"/>
        </w:rPr>
        <w:t>和</w:t>
      </w:r>
      <w:r>
        <w:t>定标</w:t>
      </w:r>
    </w:p>
    <w:p>
      <w:pPr>
        <w:kinsoku w:val="0"/>
        <w:overflowPunct w:val="0"/>
        <w:spacing w:before="7" w:line="150" w:lineRule="exact"/>
        <w:rPr>
          <w:sz w:val="15"/>
        </w:rPr>
      </w:pPr>
    </w:p>
    <w:p>
      <w:pPr>
        <w:pStyle w:val="8"/>
        <w:kinsoku w:val="0"/>
        <w:overflowPunct w:val="0"/>
        <w:spacing w:line="274" w:lineRule="auto"/>
        <w:ind w:left="120" w:right="853" w:firstLine="480"/>
        <w:jc w:val="both"/>
        <w:rPr>
          <w:rFonts w:ascii="宋体" w:hAnsi="宋体" w:cs="宋体"/>
          <w:sz w:val="24"/>
          <w:szCs w:val="24"/>
        </w:rPr>
      </w:pPr>
    </w:p>
    <w:p>
      <w:pPr>
        <w:pStyle w:val="8"/>
        <w:kinsoku w:val="0"/>
        <w:overflowPunct w:val="0"/>
        <w:spacing w:line="274" w:lineRule="auto"/>
        <w:ind w:left="120" w:right="853" w:firstLine="480"/>
        <w:jc w:val="both"/>
        <w:rPr>
          <w:rFonts w:ascii="宋体" w:hAnsi="宋体" w:cs="宋体"/>
          <w:sz w:val="24"/>
          <w:szCs w:val="24"/>
        </w:rPr>
      </w:pPr>
      <w:r>
        <w:rPr>
          <w:rFonts w:hint="eastAsia" w:ascii="宋体" w:hAnsi="宋体" w:cs="宋体"/>
          <w:sz w:val="24"/>
          <w:szCs w:val="24"/>
        </w:rPr>
        <w:t>标书分为二个部分：商务标、技术标。评标方式有二种：手工评标、电脑辅 助评标。可以任意选择其中的一个部分、或者二个部分，采用手工评标或者电脑 辅助评标。</w:t>
      </w:r>
    </w:p>
    <w:p>
      <w:pPr>
        <w:pStyle w:val="8"/>
        <w:kinsoku w:val="0"/>
        <w:overflowPunct w:val="0"/>
        <w:spacing w:line="274" w:lineRule="auto"/>
        <w:ind w:left="120" w:right="853" w:firstLine="480"/>
        <w:jc w:val="both"/>
        <w:rPr>
          <w:rFonts w:ascii="宋体" w:hAnsi="宋体" w:cs="宋体"/>
          <w:sz w:val="24"/>
          <w:szCs w:val="24"/>
        </w:rPr>
      </w:pPr>
      <w:r>
        <w:rPr>
          <w:rFonts w:hint="eastAsia" w:ascii="宋体" w:hAnsi="宋体" w:cs="宋体"/>
          <w:sz w:val="24"/>
          <w:szCs w:val="24"/>
        </w:rPr>
        <w:t>评审专家在指定地点、指定时间根据投标文件进行评标，（与评标系统相衔 接），提交中标候选人并提交评标报告，招标单位（或代理机构）指定中标单位。</w:t>
      </w:r>
    </w:p>
    <w:p>
      <w:pPr>
        <w:kinsoku w:val="0"/>
        <w:overflowPunct w:val="0"/>
        <w:spacing w:before="6" w:line="280" w:lineRule="exact"/>
        <w:rPr>
          <w:sz w:val="28"/>
        </w:rPr>
      </w:pPr>
    </w:p>
    <w:p>
      <w:pPr>
        <w:pStyle w:val="26"/>
        <w:kinsoku w:val="0"/>
        <w:overflowPunct w:val="0"/>
        <w:rPr>
          <w:rFonts w:ascii="宋体" w:hAnsi="宋体" w:cs="宋体"/>
          <w:sz w:val="24"/>
          <w:szCs w:val="24"/>
        </w:rPr>
      </w:pPr>
      <w:r>
        <w:rPr>
          <w:rFonts w:hint="default" w:ascii="Calibri" w:hAnsi="Calibri" w:eastAsia="Calibri"/>
          <w:spacing w:val="-1"/>
        </w:rPr>
        <w:t>2.2</w:t>
      </w:r>
      <w:r>
        <w:rPr>
          <w:rFonts w:hint="default" w:ascii="Calibri" w:hAnsi="Calibri" w:eastAsia="Calibri"/>
        </w:rPr>
        <w:t>.</w:t>
      </w:r>
      <w:r>
        <w:rPr>
          <w:rFonts w:hint="default" w:ascii="Calibri" w:hAnsi="Calibri" w:eastAsia="Calibri"/>
          <w:spacing w:val="-1"/>
        </w:rPr>
        <w:t>7</w:t>
      </w:r>
      <w:r>
        <w:rPr>
          <w:rFonts w:hint="default" w:ascii="Calibri" w:hAnsi="Calibri" w:eastAsia="Calibri"/>
        </w:rPr>
        <w:t>.</w:t>
      </w:r>
      <w:r>
        <w:rPr>
          <w:rFonts w:hint="default" w:ascii="Calibri" w:hAnsi="Calibri" w:eastAsia="Calibri"/>
          <w:spacing w:val="3"/>
        </w:rPr>
        <w:t xml:space="preserve"> </w:t>
      </w:r>
      <w:r>
        <w:rPr>
          <w:spacing w:val="2"/>
        </w:rPr>
        <w:t>招</w:t>
      </w:r>
      <w:r>
        <w:t>投</w:t>
      </w:r>
      <w:r>
        <w:rPr>
          <w:spacing w:val="2"/>
        </w:rPr>
        <w:t>标</w:t>
      </w:r>
      <w:r>
        <w:t>情</w:t>
      </w:r>
      <w:r>
        <w:rPr>
          <w:spacing w:val="2"/>
        </w:rPr>
        <w:t>况</w:t>
      </w:r>
      <w:r>
        <w:t>备案</w:t>
      </w:r>
    </w:p>
    <w:p>
      <w:pPr>
        <w:pStyle w:val="8"/>
        <w:kinsoku w:val="0"/>
        <w:overflowPunct w:val="0"/>
        <w:spacing w:line="274" w:lineRule="auto"/>
        <w:ind w:left="120" w:right="853" w:firstLine="480"/>
        <w:jc w:val="both"/>
        <w:rPr>
          <w:rFonts w:ascii="宋体" w:hAnsi="宋体" w:cs="宋体"/>
          <w:sz w:val="24"/>
          <w:szCs w:val="24"/>
        </w:rPr>
      </w:pPr>
      <w:r>
        <w:rPr>
          <w:rFonts w:hint="eastAsia" w:ascii="宋体" w:hAnsi="宋体" w:cs="宋体"/>
          <w:sz w:val="24"/>
          <w:szCs w:val="24"/>
        </w:rPr>
        <w:t>招投标管理部门的工作人员网上接收评标报告，主管部门对评标报告进行审 核。如果采用电脑辅助评标，产生的数据可以直接导出，成为备案文件的一部分。 招投标管理部门的工作人员审核通过的中标候选人，并公布。</w:t>
      </w:r>
    </w:p>
    <w:p>
      <w:pPr>
        <w:pStyle w:val="26"/>
        <w:numPr>
          <w:ilvl w:val="2"/>
          <w:numId w:val="3"/>
        </w:numPr>
        <w:tabs>
          <w:tab w:val="left" w:pos="900"/>
        </w:tabs>
        <w:kinsoku w:val="0"/>
        <w:overflowPunct w:val="0"/>
        <w:spacing w:line="438" w:lineRule="exact"/>
        <w:ind w:left="900"/>
        <w:rPr>
          <w:sz w:val="15"/>
        </w:rPr>
      </w:pPr>
      <w:r>
        <w:rPr>
          <w:spacing w:val="2"/>
        </w:rPr>
        <w:t>中</w:t>
      </w:r>
      <w:r>
        <w:t>标</w:t>
      </w:r>
      <w:r>
        <w:rPr>
          <w:spacing w:val="2"/>
        </w:rPr>
        <w:t>管</w:t>
      </w:r>
      <w:r>
        <w:t>理</w:t>
      </w:r>
    </w:p>
    <w:p>
      <w:pPr>
        <w:pStyle w:val="8"/>
        <w:kinsoku w:val="0"/>
        <w:overflowPunct w:val="0"/>
        <w:spacing w:line="274" w:lineRule="auto"/>
        <w:ind w:left="120" w:right="853" w:firstLine="480"/>
        <w:jc w:val="both"/>
        <w:rPr>
          <w:rFonts w:ascii="宋体" w:hAnsi="宋体" w:cs="宋体"/>
          <w:sz w:val="24"/>
          <w:szCs w:val="24"/>
        </w:rPr>
      </w:pPr>
    </w:p>
    <w:p>
      <w:pPr>
        <w:pStyle w:val="8"/>
        <w:kinsoku w:val="0"/>
        <w:overflowPunct w:val="0"/>
        <w:spacing w:line="274" w:lineRule="auto"/>
        <w:ind w:left="120" w:right="853" w:firstLine="480"/>
        <w:jc w:val="both"/>
        <w:rPr>
          <w:sz w:val="28"/>
        </w:rPr>
      </w:pPr>
      <w:r>
        <w:rPr>
          <w:rFonts w:hint="eastAsia" w:ascii="宋体" w:hAnsi="宋体" w:cs="宋体"/>
          <w:sz w:val="24"/>
          <w:szCs w:val="24"/>
        </w:rPr>
        <w:t>招投标管理部门审核招标单位或代理机构提交的中标企业，在网站上发布中 标通知。</w:t>
      </w:r>
    </w:p>
    <w:p>
      <w:pPr>
        <w:pStyle w:val="26"/>
        <w:numPr>
          <w:ilvl w:val="2"/>
          <w:numId w:val="3"/>
        </w:numPr>
        <w:tabs>
          <w:tab w:val="left" w:pos="900"/>
        </w:tabs>
        <w:kinsoku w:val="0"/>
        <w:overflowPunct w:val="0"/>
        <w:ind w:left="900"/>
        <w:rPr>
          <w:rFonts w:ascii="宋体" w:hAnsi="宋体" w:cs="宋体"/>
          <w:sz w:val="24"/>
          <w:szCs w:val="24"/>
        </w:rPr>
      </w:pPr>
      <w:r>
        <w:rPr>
          <w:spacing w:val="2"/>
        </w:rPr>
        <w:t>资</w:t>
      </w:r>
      <w:r>
        <w:t>金</w:t>
      </w:r>
      <w:r>
        <w:rPr>
          <w:spacing w:val="2"/>
        </w:rPr>
        <w:t>管</w:t>
      </w:r>
      <w:r>
        <w:t>理</w:t>
      </w:r>
      <w:bookmarkStart w:id="1" w:name="_GoBack"/>
      <w:bookmarkEnd w:id="1"/>
    </w:p>
    <w:p>
      <w:pPr>
        <w:pStyle w:val="8"/>
        <w:kinsoku w:val="0"/>
        <w:overflowPunct w:val="0"/>
        <w:spacing w:line="274" w:lineRule="auto"/>
        <w:ind w:left="120" w:right="853" w:firstLine="480"/>
        <w:jc w:val="both"/>
        <w:rPr>
          <w:rFonts w:ascii="宋体" w:hAnsi="宋体" w:cs="宋体"/>
          <w:sz w:val="24"/>
          <w:szCs w:val="24"/>
        </w:rPr>
      </w:pPr>
    </w:p>
    <w:p>
      <w:pPr>
        <w:pStyle w:val="8"/>
        <w:kinsoku w:val="0"/>
        <w:overflowPunct w:val="0"/>
        <w:spacing w:line="274" w:lineRule="auto"/>
        <w:ind w:left="120" w:right="853" w:firstLine="480"/>
        <w:jc w:val="both"/>
        <w:rPr>
          <w:rFonts w:ascii="宋体" w:hAnsi="宋体" w:cs="宋体"/>
          <w:sz w:val="24"/>
          <w:szCs w:val="24"/>
        </w:rPr>
      </w:pPr>
      <w:r>
        <w:rPr>
          <w:rFonts w:hint="eastAsia" w:ascii="宋体" w:hAnsi="宋体" w:cs="宋体"/>
          <w:sz w:val="24"/>
          <w:szCs w:val="24"/>
        </w:rPr>
        <w:t>产生中标人以后，中标人和甲方向中心缴纳相关的费用后，可以领取成交公示。</w:t>
      </w:r>
    </w:p>
    <w:p>
      <w:pPr>
        <w:kinsoku w:val="0"/>
        <w:overflowPunct w:val="0"/>
        <w:spacing w:before="6" w:line="280" w:lineRule="exact"/>
        <w:rPr>
          <w:sz w:val="28"/>
        </w:rPr>
      </w:pPr>
    </w:p>
    <w:p>
      <w:pPr>
        <w:pStyle w:val="26"/>
        <w:numPr>
          <w:ilvl w:val="2"/>
          <w:numId w:val="3"/>
        </w:numPr>
        <w:tabs>
          <w:tab w:val="left" w:pos="1051"/>
        </w:tabs>
        <w:kinsoku w:val="0"/>
        <w:overflowPunct w:val="0"/>
        <w:ind w:left="1051" w:hanging="932"/>
        <w:rPr>
          <w:rFonts w:hint="default"/>
        </w:rPr>
      </w:pPr>
      <w:r>
        <w:rPr>
          <w:spacing w:val="2"/>
        </w:rPr>
        <w:t>合</w:t>
      </w:r>
      <w:r>
        <w:t>同</w:t>
      </w:r>
      <w:r>
        <w:rPr>
          <w:spacing w:val="2"/>
        </w:rPr>
        <w:t>备</w:t>
      </w:r>
      <w:r>
        <w:t>案</w:t>
      </w:r>
    </w:p>
    <w:p>
      <w:pPr>
        <w:kinsoku w:val="0"/>
        <w:overflowPunct w:val="0"/>
        <w:spacing w:before="7" w:line="150" w:lineRule="exact"/>
        <w:rPr>
          <w:sz w:val="15"/>
        </w:rPr>
      </w:pPr>
    </w:p>
    <w:p>
      <w:pPr>
        <w:pStyle w:val="8"/>
        <w:kinsoku w:val="0"/>
        <w:overflowPunct w:val="0"/>
        <w:spacing w:line="274" w:lineRule="auto"/>
        <w:ind w:left="120" w:right="853" w:firstLine="480"/>
        <w:jc w:val="both"/>
        <w:rPr>
          <w:rFonts w:ascii="宋体" w:hAnsi="宋体" w:cs="宋体"/>
          <w:sz w:val="24"/>
          <w:szCs w:val="24"/>
        </w:rPr>
      </w:pPr>
    </w:p>
    <w:p>
      <w:pPr>
        <w:pStyle w:val="8"/>
        <w:kinsoku w:val="0"/>
        <w:overflowPunct w:val="0"/>
        <w:spacing w:line="274" w:lineRule="auto"/>
        <w:ind w:left="120" w:right="853" w:firstLine="480"/>
        <w:jc w:val="both"/>
        <w:rPr>
          <w:rFonts w:ascii="宋体" w:hAnsi="宋体" w:cs="宋体"/>
          <w:sz w:val="24"/>
          <w:szCs w:val="24"/>
        </w:rPr>
      </w:pPr>
      <w:r>
        <w:rPr>
          <w:rFonts w:hint="eastAsia" w:ascii="宋体" w:hAnsi="宋体" w:cs="宋体"/>
          <w:sz w:val="24"/>
          <w:szCs w:val="24"/>
        </w:rPr>
        <w:t>合同管理要反映招投标双方所签定的合同，便于招投标管理部门审核，并对 合同备案，合同内容要反映出：项目名称、合同编号、合同开始时间、结束时间 等。</w:t>
      </w:r>
    </w:p>
    <w:p>
      <w:pPr>
        <w:kinsoku w:val="0"/>
        <w:overflowPunct w:val="0"/>
        <w:spacing w:before="6" w:line="280" w:lineRule="exact"/>
        <w:ind w:left="0" w:firstLine="0"/>
        <w:rPr>
          <w:sz w:val="28"/>
        </w:rPr>
      </w:pPr>
    </w:p>
    <w:p>
      <w:pPr>
        <w:pStyle w:val="26"/>
        <w:kinsoku w:val="0"/>
        <w:overflowPunct w:val="0"/>
        <w:rPr>
          <w:rFonts w:hint="default"/>
        </w:rPr>
      </w:pPr>
      <w:r>
        <w:rPr>
          <w:rFonts w:hint="default" w:ascii="Cambria" w:hAnsi="Cambria" w:eastAsia="Cambria"/>
          <w:spacing w:val="-1"/>
        </w:rPr>
        <w:t>2</w:t>
      </w:r>
      <w:r>
        <w:rPr>
          <w:rFonts w:hint="default" w:ascii="Cambria" w:hAnsi="Cambria" w:eastAsia="Cambria"/>
        </w:rPr>
        <w:t>.</w:t>
      </w:r>
      <w:r>
        <w:rPr>
          <w:rFonts w:hint="default" w:ascii="Cambria" w:hAnsi="Cambria" w:eastAsia="Cambria"/>
          <w:spacing w:val="-1"/>
        </w:rPr>
        <w:t>3</w:t>
      </w:r>
      <w:r>
        <w:rPr>
          <w:rFonts w:hint="default" w:ascii="Cambria" w:hAnsi="Cambria" w:eastAsia="Cambria"/>
        </w:rPr>
        <w:t>.</w:t>
      </w:r>
      <w:r>
        <w:rPr>
          <w:rFonts w:hint="default" w:ascii="Cambria" w:hAnsi="Cambria" w:eastAsia="Cambria"/>
          <w:spacing w:val="41"/>
        </w:rPr>
        <w:t xml:space="preserve"> </w:t>
      </w:r>
      <w:r>
        <w:rPr>
          <w:spacing w:val="2"/>
        </w:rPr>
        <w:t>政</w:t>
      </w:r>
      <w:r>
        <w:t>府</w:t>
      </w:r>
      <w:r>
        <w:rPr>
          <w:spacing w:val="2"/>
        </w:rPr>
        <w:t>采</w:t>
      </w:r>
      <w:r>
        <w:t>购</w:t>
      </w:r>
    </w:p>
    <w:p>
      <w:pPr>
        <w:kinsoku w:val="0"/>
        <w:overflowPunct w:val="0"/>
        <w:spacing w:before="7" w:line="150" w:lineRule="exact"/>
        <w:rPr>
          <w:sz w:val="15"/>
        </w:rPr>
      </w:pPr>
    </w:p>
    <w:p>
      <w:pPr>
        <w:kinsoku w:val="0"/>
        <w:overflowPunct w:val="0"/>
        <w:spacing w:line="200" w:lineRule="exact"/>
        <w:rPr>
          <w:sz w:val="20"/>
        </w:rPr>
      </w:pPr>
    </w:p>
    <w:p>
      <w:pPr>
        <w:pStyle w:val="8"/>
        <w:kinsoku w:val="0"/>
        <w:overflowPunct w:val="0"/>
        <w:ind w:left="600"/>
        <w:rPr>
          <w:sz w:val="24"/>
        </w:rPr>
      </w:pPr>
      <w:r>
        <w:rPr>
          <w:rFonts w:hint="eastAsia"/>
          <w:spacing w:val="4"/>
          <w:sz w:val="24"/>
        </w:rPr>
        <w:t>政府采购业务管理系统功能涵盖了采购业务的全部流程，支持各种采购</w:t>
      </w:r>
      <w:r>
        <w:rPr>
          <w:rFonts w:hint="eastAsia"/>
          <w:sz w:val="24"/>
        </w:rPr>
        <w:t>模式</w:t>
      </w:r>
      <w:r>
        <w:rPr>
          <w:rFonts w:hint="eastAsia"/>
          <w:spacing w:val="-21"/>
          <w:sz w:val="24"/>
        </w:rPr>
        <w:t>，</w:t>
      </w:r>
      <w:r>
        <w:rPr>
          <w:rFonts w:hint="eastAsia"/>
          <w:sz w:val="24"/>
        </w:rPr>
        <w:t>兼容多种评标方法</w:t>
      </w:r>
      <w:r>
        <w:rPr>
          <w:rFonts w:hint="eastAsia"/>
          <w:spacing w:val="-21"/>
          <w:sz w:val="24"/>
        </w:rPr>
        <w:t>，</w:t>
      </w:r>
      <w:r>
        <w:rPr>
          <w:rFonts w:hint="eastAsia"/>
          <w:sz w:val="24"/>
        </w:rPr>
        <w:t>各参与部门</w:t>
      </w:r>
      <w:r>
        <w:rPr>
          <w:rFonts w:hint="eastAsia"/>
          <w:spacing w:val="-21"/>
          <w:sz w:val="24"/>
        </w:rPr>
        <w:t>、</w:t>
      </w:r>
      <w:r>
        <w:rPr>
          <w:rFonts w:hint="eastAsia"/>
          <w:sz w:val="24"/>
        </w:rPr>
        <w:t>人员有各自的账号</w:t>
      </w:r>
      <w:r>
        <w:rPr>
          <w:rFonts w:hint="eastAsia"/>
          <w:spacing w:val="-21"/>
          <w:sz w:val="24"/>
        </w:rPr>
        <w:t>，</w:t>
      </w:r>
      <w:r>
        <w:rPr>
          <w:rFonts w:hint="eastAsia"/>
          <w:sz w:val="24"/>
        </w:rPr>
        <w:t>登陆系统的内网</w:t>
      </w:r>
      <w:r>
        <w:rPr>
          <w:rFonts w:hint="eastAsia"/>
          <w:spacing w:val="-21"/>
          <w:sz w:val="24"/>
        </w:rPr>
        <w:t>、</w:t>
      </w:r>
      <w:r>
        <w:rPr>
          <w:rFonts w:hint="eastAsia"/>
          <w:sz w:val="24"/>
        </w:rPr>
        <w:t>外</w:t>
      </w:r>
    </w:p>
    <w:p>
      <w:pPr>
        <w:pStyle w:val="8"/>
        <w:kinsoku w:val="0"/>
        <w:overflowPunct w:val="0"/>
        <w:spacing w:before="58"/>
        <w:ind w:left="119"/>
        <w:rPr>
          <w:sz w:val="24"/>
        </w:rPr>
      </w:pPr>
      <w:r>
        <w:rPr>
          <w:rFonts w:hint="eastAsia"/>
          <w:sz w:val="24"/>
        </w:rPr>
        <w:t>网，完成自己的工作。</w:t>
      </w:r>
    </w:p>
    <w:p>
      <w:pPr>
        <w:kinsoku w:val="0"/>
        <w:overflowPunct w:val="0"/>
        <w:spacing w:line="200" w:lineRule="exact"/>
        <w:ind w:left="0" w:firstLine="0"/>
        <w:rPr>
          <w:sz w:val="20"/>
        </w:rPr>
      </w:pPr>
    </w:p>
    <w:p>
      <w:pPr>
        <w:pStyle w:val="26"/>
        <w:kinsoku w:val="0"/>
        <w:overflowPunct w:val="0"/>
        <w:rPr>
          <w:rFonts w:hint="default"/>
        </w:rPr>
      </w:pPr>
      <w:r>
        <w:rPr>
          <w:rFonts w:hint="default" w:ascii="Calibri" w:hAnsi="Calibri" w:eastAsia="Calibri"/>
          <w:spacing w:val="-1"/>
        </w:rPr>
        <w:t>2.3</w:t>
      </w:r>
      <w:r>
        <w:rPr>
          <w:rFonts w:hint="default" w:ascii="Calibri" w:hAnsi="Calibri" w:eastAsia="Calibri"/>
        </w:rPr>
        <w:t>.</w:t>
      </w:r>
      <w:r>
        <w:rPr>
          <w:rFonts w:hint="default" w:ascii="Calibri" w:hAnsi="Calibri" w:eastAsia="Calibri"/>
          <w:spacing w:val="-1"/>
        </w:rPr>
        <w:t>1</w:t>
      </w:r>
      <w:r>
        <w:rPr>
          <w:rFonts w:hint="default" w:ascii="Calibri" w:hAnsi="Calibri" w:eastAsia="Calibri"/>
        </w:rPr>
        <w:t>.</w:t>
      </w:r>
      <w:r>
        <w:rPr>
          <w:rFonts w:hint="default" w:ascii="Calibri" w:hAnsi="Calibri" w:eastAsia="Calibri"/>
          <w:spacing w:val="-6"/>
        </w:rPr>
        <w:t xml:space="preserve"> </w:t>
      </w:r>
      <w:r>
        <w:rPr>
          <w:spacing w:val="2"/>
        </w:rPr>
        <w:t>采</w:t>
      </w:r>
      <w:r>
        <w:t>购</w:t>
      </w:r>
      <w:r>
        <w:rPr>
          <w:spacing w:val="2"/>
        </w:rPr>
        <w:t>计</w:t>
      </w:r>
      <w:r>
        <w:t>划</w:t>
      </w:r>
      <w:r>
        <w:rPr>
          <w:spacing w:val="2"/>
        </w:rPr>
        <w:t>的</w:t>
      </w:r>
      <w:r>
        <w:t>申</w:t>
      </w:r>
      <w:r>
        <w:rPr>
          <w:spacing w:val="2"/>
        </w:rPr>
        <w:t>报</w:t>
      </w:r>
      <w:r>
        <w:t>和</w:t>
      </w:r>
      <w:r>
        <w:rPr>
          <w:spacing w:val="2"/>
        </w:rPr>
        <w:t>审</w:t>
      </w:r>
      <w:r>
        <w:t>核</w:t>
      </w:r>
    </w:p>
    <w:p>
      <w:pPr>
        <w:kinsoku w:val="0"/>
        <w:overflowPunct w:val="0"/>
        <w:spacing w:before="5" w:line="150" w:lineRule="exact"/>
        <w:rPr>
          <w:sz w:val="15"/>
        </w:rPr>
      </w:pPr>
    </w:p>
    <w:p>
      <w:pPr>
        <w:pStyle w:val="8"/>
        <w:kinsoku w:val="0"/>
        <w:overflowPunct w:val="0"/>
        <w:spacing w:line="274" w:lineRule="auto"/>
        <w:ind w:left="120" w:right="853" w:firstLine="480"/>
        <w:jc w:val="both"/>
        <w:rPr>
          <w:rFonts w:ascii="宋体" w:hAnsi="宋体" w:cs="宋体"/>
          <w:sz w:val="24"/>
          <w:szCs w:val="24"/>
        </w:rPr>
      </w:pPr>
    </w:p>
    <w:p>
      <w:pPr>
        <w:pStyle w:val="8"/>
        <w:kinsoku w:val="0"/>
        <w:overflowPunct w:val="0"/>
        <w:spacing w:line="274" w:lineRule="auto"/>
        <w:ind w:left="120" w:right="853" w:firstLine="480"/>
        <w:jc w:val="both"/>
        <w:rPr>
          <w:rFonts w:ascii="宋体" w:hAnsi="宋体" w:cs="宋体"/>
          <w:sz w:val="24"/>
          <w:szCs w:val="24"/>
        </w:rPr>
      </w:pPr>
      <w:r>
        <w:rPr>
          <w:rFonts w:hint="eastAsia" w:ascii="宋体" w:hAnsi="宋体" w:cs="宋体"/>
          <w:sz w:val="24"/>
          <w:szCs w:val="24"/>
        </w:rPr>
        <w:t>采购计划的申报由采购单位负责。采购单位应在年初编制年度采购计划，并 按照年度采购计划编制当月（期）的实际采购计划。</w:t>
      </w:r>
    </w:p>
    <w:p>
      <w:pPr>
        <w:pStyle w:val="8"/>
        <w:kinsoku w:val="0"/>
        <w:overflowPunct w:val="0"/>
        <w:spacing w:line="274" w:lineRule="auto"/>
        <w:ind w:left="120" w:right="853" w:firstLine="480"/>
        <w:jc w:val="both"/>
        <w:rPr>
          <w:rFonts w:ascii="宋体" w:hAnsi="宋体" w:cs="宋体"/>
          <w:sz w:val="24"/>
          <w:szCs w:val="24"/>
        </w:rPr>
      </w:pPr>
      <w:r>
        <w:rPr>
          <w:rFonts w:hint="eastAsia" w:ascii="宋体" w:hAnsi="宋体" w:cs="宋体"/>
          <w:sz w:val="24"/>
          <w:szCs w:val="24"/>
        </w:rPr>
        <w:t>采购单位必须指定专职经办人员负责政府采购工作。专职人员凭获得的单位 用户名、密码进入政府采购管理系统，负责本单位与采购活动相关的活动。单位 负责人对经办人提交的采购计划进行审核确认。</w:t>
      </w:r>
    </w:p>
    <w:p>
      <w:pPr>
        <w:pStyle w:val="8"/>
        <w:kinsoku w:val="0"/>
        <w:overflowPunct w:val="0"/>
        <w:spacing w:line="274" w:lineRule="auto"/>
        <w:ind w:left="120" w:right="853" w:firstLine="480"/>
        <w:jc w:val="both"/>
        <w:rPr>
          <w:rFonts w:ascii="宋体" w:hAnsi="宋体" w:cs="宋体"/>
          <w:sz w:val="24"/>
          <w:szCs w:val="24"/>
        </w:rPr>
      </w:pPr>
      <w:r>
        <w:rPr>
          <w:rFonts w:hint="eastAsia" w:ascii="宋体" w:hAnsi="宋体" w:cs="宋体"/>
          <w:sz w:val="24"/>
          <w:szCs w:val="24"/>
        </w:rPr>
        <w:t>采购单位在规定的时间内提交采购计划后，财政部门按照审批权限进行审核 并落实资金。</w:t>
      </w:r>
    </w:p>
    <w:p>
      <w:pPr>
        <w:pStyle w:val="26"/>
        <w:kinsoku w:val="0"/>
        <w:overflowPunct w:val="0"/>
        <w:spacing w:line="441" w:lineRule="exact"/>
        <w:ind w:left="0" w:firstLine="0"/>
        <w:rPr>
          <w:rFonts w:hint="default"/>
        </w:rPr>
      </w:pPr>
      <w:r>
        <w:rPr>
          <w:rFonts w:hint="default" w:ascii="Calibri" w:hAnsi="Calibri" w:eastAsia="Calibri"/>
          <w:spacing w:val="-1"/>
        </w:rPr>
        <w:t>2.3</w:t>
      </w:r>
      <w:r>
        <w:rPr>
          <w:rFonts w:hint="default" w:ascii="Calibri" w:hAnsi="Calibri" w:eastAsia="Calibri"/>
        </w:rPr>
        <w:t>.</w:t>
      </w:r>
      <w:r>
        <w:rPr>
          <w:rFonts w:hint="default" w:ascii="Calibri" w:hAnsi="Calibri" w:eastAsia="Calibri"/>
          <w:spacing w:val="-1"/>
        </w:rPr>
        <w:t>2</w:t>
      </w:r>
      <w:r>
        <w:rPr>
          <w:rFonts w:hint="default" w:ascii="Calibri" w:hAnsi="Calibri" w:eastAsia="Calibri"/>
        </w:rPr>
        <w:t>.</w:t>
      </w:r>
      <w:r>
        <w:rPr>
          <w:rFonts w:hint="default" w:ascii="Calibri" w:hAnsi="Calibri" w:eastAsia="Calibri"/>
          <w:spacing w:val="-12"/>
        </w:rPr>
        <w:t xml:space="preserve"> </w:t>
      </w:r>
      <w:r>
        <w:rPr>
          <w:spacing w:val="2"/>
        </w:rPr>
        <w:t>采</w:t>
      </w:r>
      <w:r>
        <w:t>购</w:t>
      </w:r>
      <w:r>
        <w:rPr>
          <w:spacing w:val="2"/>
        </w:rPr>
        <w:t>计</w:t>
      </w:r>
      <w:r>
        <w:t>划</w:t>
      </w:r>
      <w:r>
        <w:rPr>
          <w:spacing w:val="2"/>
        </w:rPr>
        <w:t>的</w:t>
      </w:r>
      <w:r>
        <w:t>汇</w:t>
      </w:r>
      <w:r>
        <w:rPr>
          <w:spacing w:val="2"/>
        </w:rPr>
        <w:t>总</w:t>
      </w:r>
      <w:r>
        <w:t>和</w:t>
      </w:r>
      <w:r>
        <w:rPr>
          <w:spacing w:val="2"/>
        </w:rPr>
        <w:t>项</w:t>
      </w:r>
      <w:r>
        <w:t>目</w:t>
      </w:r>
      <w:r>
        <w:rPr>
          <w:spacing w:val="2"/>
        </w:rPr>
        <w:t>重</w:t>
      </w:r>
      <w:r>
        <w:t>组</w:t>
      </w:r>
    </w:p>
    <w:p>
      <w:pPr>
        <w:kinsoku w:val="0"/>
        <w:overflowPunct w:val="0"/>
        <w:spacing w:before="5" w:line="150" w:lineRule="exact"/>
        <w:rPr>
          <w:sz w:val="15"/>
        </w:rPr>
      </w:pPr>
    </w:p>
    <w:p>
      <w:pPr>
        <w:pStyle w:val="8"/>
        <w:kinsoku w:val="0"/>
        <w:overflowPunct w:val="0"/>
        <w:spacing w:line="274" w:lineRule="auto"/>
        <w:ind w:left="120" w:right="853" w:firstLine="480"/>
        <w:jc w:val="both"/>
        <w:rPr>
          <w:rFonts w:ascii="宋体" w:hAnsi="宋体" w:cs="宋体"/>
          <w:sz w:val="24"/>
          <w:szCs w:val="24"/>
        </w:rPr>
      </w:pPr>
    </w:p>
    <w:p>
      <w:pPr>
        <w:pStyle w:val="8"/>
        <w:kinsoku w:val="0"/>
        <w:overflowPunct w:val="0"/>
        <w:spacing w:line="274" w:lineRule="auto"/>
        <w:ind w:left="120" w:right="853" w:firstLine="480"/>
        <w:jc w:val="both"/>
        <w:rPr>
          <w:rFonts w:ascii="宋体" w:hAnsi="宋体" w:cs="宋体"/>
          <w:sz w:val="24"/>
          <w:szCs w:val="24"/>
        </w:rPr>
      </w:pPr>
      <w:r>
        <w:rPr>
          <w:rFonts w:hint="eastAsia" w:ascii="宋体" w:hAnsi="宋体" w:cs="宋体"/>
          <w:sz w:val="24"/>
          <w:szCs w:val="24"/>
        </w:rPr>
        <w:t>在设定的时间，按照目录分类进行自动汇总，并提供推荐品牌的排名。对于 需要单独招标的采购项目，可专门单列，不参与计划的汇总。</w:t>
      </w:r>
    </w:p>
    <w:p>
      <w:pPr>
        <w:pStyle w:val="8"/>
        <w:kinsoku w:val="0"/>
        <w:overflowPunct w:val="0"/>
        <w:spacing w:line="274" w:lineRule="auto"/>
        <w:ind w:left="120" w:right="853" w:firstLine="480"/>
        <w:jc w:val="both"/>
        <w:rPr>
          <w:rFonts w:ascii="宋体" w:hAnsi="宋体" w:cs="宋体"/>
          <w:sz w:val="24"/>
          <w:szCs w:val="24"/>
        </w:rPr>
      </w:pPr>
      <w:r>
        <w:rPr>
          <w:rFonts w:hint="eastAsia" w:ascii="宋体" w:hAnsi="宋体" w:cs="宋体"/>
          <w:sz w:val="24"/>
          <w:szCs w:val="24"/>
        </w:rPr>
        <w:t>经办人根据采购条目，可以将类似的东西放在一个项目里进行招标。一个项 目里可以包括多个采购单位的采购条目；一个项目可以分成若干个标段。</w:t>
      </w:r>
    </w:p>
    <w:p>
      <w:pPr>
        <w:pStyle w:val="8"/>
        <w:kinsoku w:val="0"/>
        <w:overflowPunct w:val="0"/>
        <w:spacing w:line="274" w:lineRule="auto"/>
        <w:ind w:left="120" w:right="853" w:firstLine="480"/>
        <w:jc w:val="both"/>
        <w:rPr>
          <w:rFonts w:ascii="宋体" w:hAnsi="宋体" w:cs="宋体"/>
          <w:sz w:val="24"/>
          <w:szCs w:val="24"/>
        </w:rPr>
      </w:pPr>
      <w:r>
        <w:rPr>
          <w:rFonts w:hint="eastAsia" w:ascii="宋体" w:hAnsi="宋体" w:cs="宋体"/>
          <w:sz w:val="24"/>
          <w:szCs w:val="24"/>
        </w:rPr>
        <w:t>根据采购物品的不同，标段还可以分成多品牌招标，多品牌标段里可以根据 需要采购的条目设置多个报价方案来满足采购单位的需求。</w:t>
      </w:r>
    </w:p>
    <w:p>
      <w:pPr>
        <w:kinsoku w:val="0"/>
        <w:overflowPunct w:val="0"/>
        <w:spacing w:before="6" w:line="280" w:lineRule="exact"/>
        <w:rPr>
          <w:sz w:val="28"/>
        </w:rPr>
      </w:pPr>
    </w:p>
    <w:p>
      <w:pPr>
        <w:pStyle w:val="26"/>
        <w:kinsoku w:val="0"/>
        <w:overflowPunct w:val="0"/>
        <w:rPr>
          <w:rFonts w:hint="default"/>
        </w:rPr>
      </w:pPr>
      <w:r>
        <w:rPr>
          <w:rFonts w:hint="default" w:ascii="Calibri" w:hAnsi="Calibri" w:eastAsia="Calibri"/>
          <w:spacing w:val="-1"/>
        </w:rPr>
        <w:t>2.3</w:t>
      </w:r>
      <w:r>
        <w:rPr>
          <w:rFonts w:hint="default" w:ascii="Calibri" w:hAnsi="Calibri" w:eastAsia="Calibri"/>
        </w:rPr>
        <w:t>.</w:t>
      </w:r>
      <w:r>
        <w:rPr>
          <w:rFonts w:hint="default" w:ascii="Calibri" w:hAnsi="Calibri" w:eastAsia="Calibri"/>
          <w:spacing w:val="-1"/>
        </w:rPr>
        <w:t>3</w:t>
      </w:r>
      <w:r>
        <w:rPr>
          <w:rFonts w:hint="default" w:ascii="Calibri" w:hAnsi="Calibri" w:eastAsia="Calibri"/>
        </w:rPr>
        <w:t>.</w:t>
      </w:r>
      <w:r>
        <w:rPr>
          <w:rFonts w:hint="default" w:ascii="Calibri" w:hAnsi="Calibri" w:eastAsia="Calibri"/>
          <w:spacing w:val="3"/>
        </w:rPr>
        <w:t xml:space="preserve"> </w:t>
      </w:r>
      <w:r>
        <w:rPr>
          <w:spacing w:val="2"/>
        </w:rPr>
        <w:t>采</w:t>
      </w:r>
      <w:r>
        <w:t>购</w:t>
      </w:r>
      <w:r>
        <w:rPr>
          <w:spacing w:val="2"/>
        </w:rPr>
        <w:t>方</w:t>
      </w:r>
      <w:r>
        <w:t>式</w:t>
      </w:r>
      <w:r>
        <w:rPr>
          <w:spacing w:val="2"/>
        </w:rPr>
        <w:t>的</w:t>
      </w:r>
      <w:r>
        <w:t>确定</w:t>
      </w:r>
    </w:p>
    <w:p>
      <w:pPr>
        <w:kinsoku w:val="0"/>
        <w:overflowPunct w:val="0"/>
        <w:spacing w:before="7" w:line="150" w:lineRule="exact"/>
        <w:rPr>
          <w:sz w:val="15"/>
        </w:rPr>
      </w:pPr>
    </w:p>
    <w:p>
      <w:pPr>
        <w:pStyle w:val="8"/>
        <w:kinsoku w:val="0"/>
        <w:overflowPunct w:val="0"/>
        <w:spacing w:line="274" w:lineRule="auto"/>
        <w:ind w:left="120" w:right="853" w:firstLine="480"/>
        <w:jc w:val="both"/>
        <w:rPr>
          <w:rFonts w:ascii="宋体" w:hAnsi="宋体" w:cs="宋体"/>
          <w:sz w:val="24"/>
          <w:szCs w:val="24"/>
        </w:rPr>
      </w:pPr>
    </w:p>
    <w:p>
      <w:pPr>
        <w:pStyle w:val="8"/>
        <w:kinsoku w:val="0"/>
        <w:overflowPunct w:val="0"/>
        <w:spacing w:line="274" w:lineRule="auto"/>
        <w:ind w:left="120" w:right="853" w:firstLine="480"/>
        <w:jc w:val="both"/>
        <w:rPr>
          <w:rFonts w:ascii="宋体" w:hAnsi="宋体" w:cs="宋体"/>
          <w:sz w:val="24"/>
          <w:szCs w:val="24"/>
        </w:rPr>
      </w:pPr>
      <w:r>
        <w:rPr>
          <w:rFonts w:hint="eastAsia" w:ascii="宋体" w:hAnsi="宋体" w:cs="宋体"/>
          <w:sz w:val="24"/>
          <w:szCs w:val="24"/>
        </w:rPr>
        <w:t>招标中心管理人员按照规定、程序，确定各个项目的采购方式，经批准后， 采购方式自动通知给采购单位。采购方式包括：公开招标、邀请招标、单一来源、 竞争性谈判、询价采购、跟标采购、协议采购等。如果是公开招标或者是邀请招 标，还要决定发标、评标的方式，一般有：纸质文件发标、人工评标；发布电子 标书。</w:t>
      </w:r>
    </w:p>
    <w:p>
      <w:pPr>
        <w:kinsoku w:val="0"/>
        <w:overflowPunct w:val="0"/>
        <w:spacing w:before="6" w:line="280" w:lineRule="exact"/>
        <w:rPr>
          <w:sz w:val="28"/>
        </w:rPr>
      </w:pPr>
    </w:p>
    <w:p>
      <w:pPr>
        <w:pStyle w:val="26"/>
        <w:kinsoku w:val="0"/>
        <w:overflowPunct w:val="0"/>
        <w:rPr>
          <w:rFonts w:hint="default"/>
        </w:rPr>
      </w:pPr>
      <w:r>
        <w:rPr>
          <w:rFonts w:hint="default" w:ascii="Calibri" w:hAnsi="Calibri" w:eastAsia="Calibri"/>
          <w:spacing w:val="-1"/>
        </w:rPr>
        <w:t>2.3</w:t>
      </w:r>
      <w:r>
        <w:rPr>
          <w:rFonts w:hint="default" w:ascii="Calibri" w:hAnsi="Calibri" w:eastAsia="Calibri"/>
        </w:rPr>
        <w:t>.</w:t>
      </w:r>
      <w:r>
        <w:rPr>
          <w:rFonts w:hint="default" w:ascii="Calibri" w:hAnsi="Calibri" w:eastAsia="Calibri"/>
          <w:spacing w:val="-1"/>
        </w:rPr>
        <w:t>4</w:t>
      </w:r>
      <w:r>
        <w:rPr>
          <w:rFonts w:hint="default" w:ascii="Calibri" w:hAnsi="Calibri" w:eastAsia="Calibri"/>
        </w:rPr>
        <w:t>.</w:t>
      </w:r>
      <w:r>
        <w:rPr>
          <w:rFonts w:hint="default" w:ascii="Calibri" w:hAnsi="Calibri" w:eastAsia="Calibri"/>
          <w:spacing w:val="-3"/>
        </w:rPr>
        <w:t xml:space="preserve"> </w:t>
      </w:r>
      <w:r>
        <w:rPr>
          <w:spacing w:val="2"/>
        </w:rPr>
        <w:t>招</w:t>
      </w:r>
      <w:r>
        <w:t>标</w:t>
      </w:r>
      <w:r>
        <w:rPr>
          <w:spacing w:val="2"/>
        </w:rPr>
        <w:t>文</w:t>
      </w:r>
      <w:r>
        <w:t>件</w:t>
      </w:r>
      <w:r>
        <w:rPr>
          <w:spacing w:val="2"/>
        </w:rPr>
        <w:t>编</w:t>
      </w:r>
      <w:r>
        <w:t>制</w:t>
      </w:r>
      <w:r>
        <w:rPr>
          <w:spacing w:val="2"/>
        </w:rPr>
        <w:t>及</w:t>
      </w:r>
      <w:r>
        <w:t>审核</w:t>
      </w:r>
    </w:p>
    <w:p>
      <w:pPr>
        <w:kinsoku w:val="0"/>
        <w:overflowPunct w:val="0"/>
        <w:spacing w:before="7" w:line="150" w:lineRule="exact"/>
        <w:rPr>
          <w:sz w:val="15"/>
        </w:rPr>
      </w:pPr>
    </w:p>
    <w:p>
      <w:pPr>
        <w:pStyle w:val="8"/>
        <w:kinsoku w:val="0"/>
        <w:overflowPunct w:val="0"/>
        <w:spacing w:line="274" w:lineRule="auto"/>
        <w:ind w:left="120" w:right="853" w:firstLine="480"/>
        <w:jc w:val="both"/>
        <w:rPr>
          <w:rFonts w:ascii="宋体" w:hAnsi="宋体" w:cs="宋体"/>
          <w:sz w:val="24"/>
          <w:szCs w:val="24"/>
        </w:rPr>
      </w:pPr>
    </w:p>
    <w:p>
      <w:pPr>
        <w:pStyle w:val="8"/>
        <w:kinsoku w:val="0"/>
        <w:overflowPunct w:val="0"/>
        <w:spacing w:line="274" w:lineRule="auto"/>
        <w:ind w:left="120" w:right="853" w:firstLine="480"/>
        <w:jc w:val="both"/>
        <w:rPr>
          <w:rFonts w:ascii="宋体" w:hAnsi="宋体" w:cs="宋体"/>
          <w:sz w:val="24"/>
          <w:szCs w:val="24"/>
        </w:rPr>
      </w:pPr>
      <w:r>
        <w:rPr>
          <w:rFonts w:hint="eastAsia" w:ascii="宋体" w:hAnsi="宋体" w:cs="宋体"/>
          <w:sz w:val="24"/>
          <w:szCs w:val="24"/>
        </w:rPr>
        <w:t>招标文件可以独立撰写，也可以使用标准的招标文件模板。招标文件由招标 中心拟定，也可由采购单位或者其委托的代理机构拟定，招标中心和采购单位相 互协商，经审核后发布。</w:t>
      </w:r>
    </w:p>
    <w:p>
      <w:pPr>
        <w:kinsoku w:val="0"/>
        <w:overflowPunct w:val="0"/>
        <w:spacing w:before="2" w:line="130" w:lineRule="exact"/>
        <w:rPr>
          <w:sz w:val="13"/>
        </w:rPr>
      </w:pPr>
    </w:p>
    <w:p>
      <w:pPr>
        <w:kinsoku w:val="0"/>
        <w:overflowPunct w:val="0"/>
        <w:spacing w:line="200" w:lineRule="exact"/>
        <w:rPr>
          <w:sz w:val="20"/>
        </w:rPr>
      </w:pPr>
    </w:p>
    <w:p>
      <w:pPr>
        <w:pStyle w:val="26"/>
        <w:kinsoku w:val="0"/>
        <w:overflowPunct w:val="0"/>
        <w:rPr>
          <w:rFonts w:hint="default"/>
        </w:rPr>
      </w:pPr>
      <w:r>
        <w:rPr>
          <w:rFonts w:hint="default" w:ascii="Calibri" w:hAnsi="Calibri" w:eastAsia="Calibri"/>
          <w:spacing w:val="-1"/>
        </w:rPr>
        <w:t>2.3</w:t>
      </w:r>
      <w:r>
        <w:rPr>
          <w:rFonts w:hint="default" w:ascii="Calibri" w:hAnsi="Calibri" w:eastAsia="Calibri"/>
        </w:rPr>
        <w:t>.</w:t>
      </w:r>
      <w:r>
        <w:rPr>
          <w:rFonts w:hint="default" w:ascii="Calibri" w:hAnsi="Calibri" w:eastAsia="Calibri"/>
          <w:spacing w:val="-1"/>
        </w:rPr>
        <w:t>5</w:t>
      </w:r>
      <w:r>
        <w:rPr>
          <w:rFonts w:hint="default" w:ascii="Calibri" w:hAnsi="Calibri" w:eastAsia="Calibri"/>
        </w:rPr>
        <w:t>.</w:t>
      </w:r>
      <w:r>
        <w:rPr>
          <w:rFonts w:hint="default" w:ascii="Calibri" w:hAnsi="Calibri" w:eastAsia="Calibri"/>
          <w:spacing w:val="6"/>
        </w:rPr>
        <w:t xml:space="preserve"> </w:t>
      </w:r>
      <w:r>
        <w:rPr>
          <w:spacing w:val="2"/>
        </w:rPr>
        <w:t>采</w:t>
      </w:r>
      <w:r>
        <w:t>购</w:t>
      </w:r>
      <w:r>
        <w:rPr>
          <w:spacing w:val="2"/>
        </w:rPr>
        <w:t>信</w:t>
      </w:r>
      <w:r>
        <w:t>息</w:t>
      </w:r>
      <w:r>
        <w:rPr>
          <w:spacing w:val="2"/>
        </w:rPr>
        <w:t>发</w:t>
      </w:r>
      <w:r>
        <w:t>布</w:t>
      </w:r>
    </w:p>
    <w:p>
      <w:pPr>
        <w:kinsoku w:val="0"/>
        <w:overflowPunct w:val="0"/>
        <w:spacing w:before="5" w:line="150" w:lineRule="exact"/>
        <w:rPr>
          <w:sz w:val="15"/>
        </w:rPr>
      </w:pPr>
    </w:p>
    <w:p>
      <w:pPr>
        <w:pStyle w:val="8"/>
        <w:kinsoku w:val="0"/>
        <w:overflowPunct w:val="0"/>
        <w:spacing w:line="274" w:lineRule="auto"/>
        <w:ind w:left="120" w:right="853" w:firstLine="480"/>
        <w:jc w:val="both"/>
        <w:rPr>
          <w:rFonts w:ascii="宋体" w:hAnsi="宋体" w:cs="宋体"/>
          <w:sz w:val="24"/>
          <w:szCs w:val="24"/>
        </w:rPr>
      </w:pPr>
    </w:p>
    <w:p>
      <w:pPr>
        <w:pStyle w:val="8"/>
        <w:kinsoku w:val="0"/>
        <w:overflowPunct w:val="0"/>
        <w:spacing w:line="274" w:lineRule="auto"/>
        <w:ind w:left="120" w:right="853" w:firstLine="480"/>
        <w:jc w:val="both"/>
        <w:rPr>
          <w:rFonts w:ascii="宋体" w:hAnsi="宋体" w:cs="宋体"/>
          <w:sz w:val="24"/>
          <w:szCs w:val="24"/>
        </w:rPr>
      </w:pPr>
      <w:r>
        <w:rPr>
          <w:rFonts w:hint="eastAsia" w:ascii="宋体" w:hAnsi="宋体" w:cs="宋体"/>
          <w:sz w:val="24"/>
          <w:szCs w:val="24"/>
        </w:rPr>
        <w:t>在招标文件通过审核后，中心可以在门户网站、其他媒体上发布招标公告。 招标公告的数据从业务系统中自动获取。公告的发布可以根据需要设置是否需要 相关领导进行审核。如公告信息有误，可以发布更正公告修正。</w:t>
      </w:r>
    </w:p>
    <w:p>
      <w:pPr>
        <w:pStyle w:val="26"/>
        <w:kinsoku w:val="0"/>
        <w:overflowPunct w:val="0"/>
        <w:spacing w:line="441" w:lineRule="exact"/>
        <w:ind w:left="0" w:firstLine="0"/>
        <w:rPr>
          <w:rFonts w:hint="default"/>
        </w:rPr>
      </w:pPr>
      <w:r>
        <w:rPr>
          <w:rFonts w:hint="default" w:ascii="Calibri" w:hAnsi="Calibri" w:eastAsia="Calibri"/>
          <w:spacing w:val="-1"/>
        </w:rPr>
        <w:t>2.3</w:t>
      </w:r>
      <w:r>
        <w:rPr>
          <w:rFonts w:hint="default" w:ascii="Calibri" w:hAnsi="Calibri" w:eastAsia="Calibri"/>
        </w:rPr>
        <w:t>.</w:t>
      </w:r>
      <w:r>
        <w:rPr>
          <w:rFonts w:hint="default" w:ascii="Calibri" w:hAnsi="Calibri" w:eastAsia="Calibri"/>
          <w:spacing w:val="-1"/>
        </w:rPr>
        <w:t>6</w:t>
      </w:r>
      <w:r>
        <w:rPr>
          <w:rFonts w:hint="default" w:ascii="Calibri" w:hAnsi="Calibri" w:eastAsia="Calibri"/>
        </w:rPr>
        <w:t>.</w:t>
      </w:r>
      <w:r>
        <w:rPr>
          <w:rFonts w:hint="default" w:ascii="Calibri" w:hAnsi="Calibri" w:eastAsia="Calibri"/>
          <w:spacing w:val="3"/>
        </w:rPr>
        <w:t xml:space="preserve"> </w:t>
      </w:r>
      <w:r>
        <w:rPr>
          <w:spacing w:val="2"/>
        </w:rPr>
        <w:t>报</w:t>
      </w:r>
      <w:r>
        <w:t>名</w:t>
      </w:r>
      <w:r>
        <w:rPr>
          <w:spacing w:val="2"/>
        </w:rPr>
        <w:t>和</w:t>
      </w:r>
      <w:r>
        <w:t>资</w:t>
      </w:r>
      <w:r>
        <w:rPr>
          <w:spacing w:val="2"/>
        </w:rPr>
        <w:t>格</w:t>
      </w:r>
      <w:r>
        <w:t>预审</w:t>
      </w:r>
    </w:p>
    <w:p>
      <w:pPr>
        <w:kinsoku w:val="0"/>
        <w:overflowPunct w:val="0"/>
        <w:spacing w:before="5" w:line="150" w:lineRule="exact"/>
        <w:rPr>
          <w:sz w:val="15"/>
        </w:rPr>
      </w:pPr>
    </w:p>
    <w:p>
      <w:pPr>
        <w:pStyle w:val="8"/>
        <w:kinsoku w:val="0"/>
        <w:overflowPunct w:val="0"/>
        <w:spacing w:line="274" w:lineRule="auto"/>
        <w:ind w:left="120" w:right="853" w:firstLine="480"/>
        <w:jc w:val="both"/>
        <w:rPr>
          <w:rFonts w:ascii="宋体" w:hAnsi="宋体" w:cs="宋体"/>
          <w:sz w:val="24"/>
          <w:szCs w:val="24"/>
        </w:rPr>
      </w:pPr>
    </w:p>
    <w:p>
      <w:pPr>
        <w:pStyle w:val="8"/>
        <w:kinsoku w:val="0"/>
        <w:overflowPunct w:val="0"/>
        <w:spacing w:line="274" w:lineRule="auto"/>
        <w:ind w:left="120" w:right="853" w:firstLine="480"/>
        <w:jc w:val="both"/>
        <w:rPr>
          <w:rFonts w:ascii="宋体" w:hAnsi="宋体" w:cs="宋体"/>
          <w:sz w:val="24"/>
          <w:szCs w:val="24"/>
        </w:rPr>
      </w:pPr>
      <w:r>
        <w:rPr>
          <w:rFonts w:hint="eastAsia" w:ascii="宋体" w:hAnsi="宋体" w:cs="宋体"/>
          <w:sz w:val="24"/>
          <w:szCs w:val="24"/>
        </w:rPr>
        <w:t>会员供应商可以在网上预约报名，非会员供应商到窗口报名。。如果项目需要资格预审，则由中心对供应商进行 审核，确定入围单位。</w:t>
      </w:r>
    </w:p>
    <w:p>
      <w:pPr>
        <w:kinsoku w:val="0"/>
        <w:overflowPunct w:val="0"/>
        <w:spacing w:before="6" w:line="280" w:lineRule="exact"/>
        <w:rPr>
          <w:sz w:val="28"/>
        </w:rPr>
      </w:pPr>
    </w:p>
    <w:p>
      <w:pPr>
        <w:pStyle w:val="26"/>
        <w:kinsoku w:val="0"/>
        <w:overflowPunct w:val="0"/>
        <w:rPr>
          <w:rFonts w:hint="default"/>
          <w:sz w:val="15"/>
        </w:rPr>
      </w:pPr>
      <w:r>
        <w:rPr>
          <w:rFonts w:hint="default" w:ascii="Calibri" w:hAnsi="Calibri" w:eastAsia="Calibri"/>
          <w:spacing w:val="-1"/>
        </w:rPr>
        <w:t>2.3</w:t>
      </w:r>
      <w:r>
        <w:rPr>
          <w:rFonts w:hint="default" w:ascii="Calibri" w:hAnsi="Calibri" w:eastAsia="Calibri"/>
        </w:rPr>
        <w:t>.</w:t>
      </w:r>
      <w:r>
        <w:rPr>
          <w:rFonts w:hint="default" w:ascii="Calibri" w:hAnsi="Calibri" w:eastAsia="Calibri"/>
          <w:spacing w:val="-1"/>
        </w:rPr>
        <w:t>7</w:t>
      </w:r>
      <w:r>
        <w:rPr>
          <w:rFonts w:hint="default" w:ascii="Calibri" w:hAnsi="Calibri" w:eastAsia="Calibri"/>
        </w:rPr>
        <w:t>.</w:t>
      </w:r>
      <w:r>
        <w:rPr>
          <w:rFonts w:hint="default" w:ascii="Calibri" w:hAnsi="Calibri" w:eastAsia="Calibri"/>
          <w:spacing w:val="3"/>
        </w:rPr>
        <w:t xml:space="preserve"> </w:t>
      </w:r>
      <w:r>
        <w:rPr>
          <w:spacing w:val="2"/>
        </w:rPr>
        <w:t>领</w:t>
      </w:r>
      <w:r>
        <w:t>取</w:t>
      </w:r>
      <w:r>
        <w:rPr>
          <w:spacing w:val="2"/>
        </w:rPr>
        <w:t>标</w:t>
      </w:r>
      <w:r>
        <w:t>书</w:t>
      </w:r>
      <w:r>
        <w:rPr>
          <w:spacing w:val="2"/>
        </w:rPr>
        <w:t>和</w:t>
      </w:r>
      <w:r>
        <w:t>交费</w:t>
      </w:r>
    </w:p>
    <w:p>
      <w:pPr>
        <w:pStyle w:val="8"/>
        <w:kinsoku w:val="0"/>
        <w:overflowPunct w:val="0"/>
        <w:spacing w:line="274" w:lineRule="auto"/>
        <w:ind w:left="120" w:right="853" w:firstLine="480"/>
        <w:jc w:val="both"/>
        <w:rPr>
          <w:rFonts w:ascii="宋体" w:hAnsi="宋体" w:cs="宋体"/>
          <w:sz w:val="24"/>
          <w:szCs w:val="24"/>
        </w:rPr>
      </w:pPr>
    </w:p>
    <w:p>
      <w:pPr>
        <w:pStyle w:val="8"/>
        <w:kinsoku w:val="0"/>
        <w:overflowPunct w:val="0"/>
        <w:spacing w:line="274" w:lineRule="auto"/>
        <w:ind w:left="120" w:right="853" w:firstLine="480"/>
        <w:jc w:val="both"/>
        <w:rPr>
          <w:rFonts w:ascii="宋体" w:hAnsi="宋体" w:cs="宋体"/>
          <w:sz w:val="24"/>
          <w:szCs w:val="24"/>
        </w:rPr>
      </w:pPr>
      <w:r>
        <w:rPr>
          <w:rFonts w:hint="eastAsia" w:ascii="宋体" w:hAnsi="宋体" w:cs="宋体"/>
          <w:sz w:val="24"/>
          <w:szCs w:val="24"/>
        </w:rPr>
        <w:t>通过资格预审的供应商可以缴纳招标文件工本费，领取招标文件。在领取招 标文件的时候，网上交保证金自动扣除。</w:t>
      </w:r>
    </w:p>
    <w:p>
      <w:pPr>
        <w:kinsoku w:val="0"/>
        <w:overflowPunct w:val="0"/>
        <w:spacing w:before="6" w:line="280" w:lineRule="exact"/>
        <w:rPr>
          <w:sz w:val="28"/>
        </w:rPr>
      </w:pPr>
    </w:p>
    <w:p>
      <w:pPr>
        <w:pStyle w:val="26"/>
        <w:numPr>
          <w:ilvl w:val="2"/>
          <w:numId w:val="4"/>
        </w:numPr>
        <w:tabs>
          <w:tab w:val="left" w:pos="900"/>
        </w:tabs>
        <w:kinsoku w:val="0"/>
        <w:overflowPunct w:val="0"/>
        <w:ind w:left="900"/>
        <w:rPr>
          <w:rFonts w:hint="default"/>
          <w:sz w:val="15"/>
        </w:rPr>
      </w:pPr>
      <w:r>
        <w:rPr>
          <w:spacing w:val="2"/>
        </w:rPr>
        <w:t>答</w:t>
      </w:r>
      <w:r>
        <w:t>疑</w:t>
      </w:r>
    </w:p>
    <w:p>
      <w:pPr>
        <w:pStyle w:val="8"/>
        <w:kinsoku w:val="0"/>
        <w:overflowPunct w:val="0"/>
        <w:spacing w:line="274" w:lineRule="auto"/>
        <w:ind w:left="120" w:right="853" w:firstLine="480"/>
        <w:jc w:val="both"/>
        <w:rPr>
          <w:rFonts w:ascii="宋体" w:hAnsi="宋体" w:cs="宋体"/>
          <w:sz w:val="24"/>
          <w:szCs w:val="24"/>
        </w:rPr>
      </w:pPr>
    </w:p>
    <w:p>
      <w:pPr>
        <w:pStyle w:val="8"/>
        <w:kinsoku w:val="0"/>
        <w:overflowPunct w:val="0"/>
        <w:spacing w:line="274" w:lineRule="auto"/>
        <w:ind w:left="120" w:right="853" w:firstLine="480"/>
        <w:jc w:val="both"/>
        <w:rPr>
          <w:rFonts w:ascii="宋体" w:hAnsi="宋体" w:cs="宋体"/>
          <w:sz w:val="24"/>
          <w:szCs w:val="24"/>
        </w:rPr>
      </w:pPr>
      <w:r>
        <w:rPr>
          <w:rFonts w:hint="eastAsia" w:ascii="宋体" w:hAnsi="宋体" w:cs="宋体"/>
          <w:sz w:val="24"/>
          <w:szCs w:val="24"/>
        </w:rPr>
        <w:t>投标单位可以通过电子邮件和书面的形式提交问题。项目负责人和采购人共 同回答由投标单位提出的问题，所有问题回答后形成答疑纪要，在网上发布，由 投标单位直接通过网络下载。</w:t>
      </w:r>
    </w:p>
    <w:p>
      <w:pPr>
        <w:kinsoku w:val="0"/>
        <w:overflowPunct w:val="0"/>
        <w:spacing w:before="6" w:line="280" w:lineRule="exact"/>
        <w:rPr>
          <w:sz w:val="28"/>
        </w:rPr>
      </w:pPr>
    </w:p>
    <w:p>
      <w:pPr>
        <w:pStyle w:val="26"/>
        <w:numPr>
          <w:ilvl w:val="2"/>
          <w:numId w:val="4"/>
        </w:numPr>
        <w:tabs>
          <w:tab w:val="left" w:pos="900"/>
        </w:tabs>
        <w:kinsoku w:val="0"/>
        <w:overflowPunct w:val="0"/>
        <w:ind w:left="900"/>
        <w:rPr>
          <w:rFonts w:hint="default"/>
        </w:rPr>
      </w:pPr>
      <w:r>
        <w:rPr>
          <w:spacing w:val="2"/>
        </w:rPr>
        <w:t>组</w:t>
      </w:r>
      <w:r>
        <w:t>织</w:t>
      </w:r>
      <w:r>
        <w:rPr>
          <w:spacing w:val="2"/>
        </w:rPr>
        <w:t>开</w:t>
      </w:r>
      <w:r>
        <w:t>标</w:t>
      </w:r>
    </w:p>
    <w:p>
      <w:pPr>
        <w:kinsoku w:val="0"/>
        <w:overflowPunct w:val="0"/>
        <w:spacing w:before="5" w:line="150" w:lineRule="exact"/>
        <w:rPr>
          <w:sz w:val="15"/>
        </w:rPr>
      </w:pPr>
    </w:p>
    <w:p>
      <w:pPr>
        <w:pStyle w:val="8"/>
        <w:kinsoku w:val="0"/>
        <w:overflowPunct w:val="0"/>
        <w:spacing w:line="274" w:lineRule="auto"/>
        <w:ind w:left="120" w:right="853" w:firstLine="480"/>
        <w:jc w:val="both"/>
        <w:rPr>
          <w:rFonts w:ascii="宋体" w:hAnsi="宋体" w:cs="宋体"/>
          <w:sz w:val="24"/>
          <w:szCs w:val="24"/>
        </w:rPr>
      </w:pPr>
    </w:p>
    <w:p>
      <w:pPr>
        <w:pStyle w:val="8"/>
        <w:kinsoku w:val="0"/>
        <w:overflowPunct w:val="0"/>
        <w:spacing w:line="274" w:lineRule="auto"/>
        <w:ind w:left="120" w:right="853" w:firstLine="480"/>
        <w:jc w:val="both"/>
        <w:rPr>
          <w:rFonts w:ascii="宋体" w:hAnsi="宋体" w:cs="宋体"/>
          <w:sz w:val="24"/>
          <w:szCs w:val="24"/>
        </w:rPr>
      </w:pPr>
      <w:r>
        <w:rPr>
          <w:rFonts w:hint="eastAsia" w:ascii="宋体" w:hAnsi="宋体" w:cs="宋体"/>
          <w:sz w:val="24"/>
          <w:szCs w:val="24"/>
        </w:rPr>
        <w:t>项目负责人可以对空闲的评标室进行预约。中心负责整个场地的维护。已经 预约的场地不能再进行预约。</w:t>
      </w:r>
    </w:p>
    <w:p>
      <w:pPr>
        <w:kinsoku w:val="0"/>
        <w:overflowPunct w:val="0"/>
        <w:spacing w:before="2" w:line="130" w:lineRule="exact"/>
        <w:rPr>
          <w:sz w:val="13"/>
        </w:rPr>
      </w:pPr>
    </w:p>
    <w:p>
      <w:pPr>
        <w:kinsoku w:val="0"/>
        <w:overflowPunct w:val="0"/>
        <w:spacing w:line="200" w:lineRule="exact"/>
        <w:rPr>
          <w:sz w:val="20"/>
        </w:rPr>
      </w:pPr>
    </w:p>
    <w:p>
      <w:pPr>
        <w:pStyle w:val="26"/>
        <w:numPr>
          <w:ilvl w:val="2"/>
          <w:numId w:val="4"/>
        </w:numPr>
        <w:tabs>
          <w:tab w:val="left" w:pos="1051"/>
        </w:tabs>
        <w:kinsoku w:val="0"/>
        <w:overflowPunct w:val="0"/>
        <w:ind w:left="1051" w:hanging="932"/>
        <w:rPr>
          <w:rFonts w:hint="default"/>
        </w:rPr>
      </w:pPr>
      <w:r>
        <w:rPr>
          <w:spacing w:val="2"/>
        </w:rPr>
        <w:t>投</w:t>
      </w:r>
      <w:r>
        <w:t>标</w:t>
      </w:r>
      <w:r>
        <w:rPr>
          <w:spacing w:val="2"/>
        </w:rPr>
        <w:t>开</w:t>
      </w:r>
      <w:r>
        <w:t>标</w:t>
      </w:r>
      <w:r>
        <w:rPr>
          <w:spacing w:val="2"/>
        </w:rPr>
        <w:t>和</w:t>
      </w:r>
      <w:r>
        <w:t>定标</w:t>
      </w:r>
    </w:p>
    <w:p>
      <w:pPr>
        <w:kinsoku w:val="0"/>
        <w:overflowPunct w:val="0"/>
        <w:spacing w:before="8" w:line="190" w:lineRule="exact"/>
        <w:rPr>
          <w:sz w:val="19"/>
        </w:rPr>
      </w:pPr>
    </w:p>
    <w:p>
      <w:pPr>
        <w:kinsoku w:val="0"/>
        <w:overflowPunct w:val="0"/>
        <w:spacing w:line="200" w:lineRule="exact"/>
        <w:rPr>
          <w:sz w:val="20"/>
        </w:rPr>
      </w:pPr>
    </w:p>
    <w:p>
      <w:pPr>
        <w:pStyle w:val="8"/>
        <w:kinsoku w:val="0"/>
        <w:overflowPunct w:val="0"/>
        <w:spacing w:line="369" w:lineRule="exact"/>
        <w:ind w:left="600"/>
        <w:rPr>
          <w:sz w:val="24"/>
        </w:rPr>
      </w:pPr>
      <w:r>
        <w:rPr>
          <w:rFonts w:hint="eastAsia"/>
          <w:sz w:val="24"/>
        </w:rPr>
        <w:t>中心人员记录供应商的投标信息</w:t>
      </w:r>
      <w:r>
        <w:rPr>
          <w:rFonts w:hint="eastAsia"/>
          <w:spacing w:val="-49"/>
          <w:sz w:val="24"/>
        </w:rPr>
        <w:t>，</w:t>
      </w:r>
      <w:r>
        <w:rPr>
          <w:rFonts w:hint="eastAsia"/>
          <w:sz w:val="24"/>
        </w:rPr>
        <w:t>在截止时间之后</w:t>
      </w:r>
      <w:r>
        <w:rPr>
          <w:rFonts w:hint="eastAsia"/>
          <w:spacing w:val="-49"/>
          <w:sz w:val="24"/>
        </w:rPr>
        <w:t>，</w:t>
      </w:r>
      <w:r>
        <w:rPr>
          <w:rFonts w:hint="eastAsia"/>
          <w:sz w:val="24"/>
        </w:rPr>
        <w:t>供应商无法提交投标文</w:t>
      </w:r>
    </w:p>
    <w:p>
      <w:pPr>
        <w:pStyle w:val="8"/>
        <w:kinsoku w:val="0"/>
        <w:overflowPunct w:val="0"/>
        <w:spacing w:before="58"/>
        <w:ind w:left="120"/>
        <w:rPr>
          <w:sz w:val="24"/>
        </w:rPr>
      </w:pPr>
      <w:r>
        <w:rPr>
          <w:rFonts w:hint="eastAsia"/>
          <w:sz w:val="24"/>
        </w:rPr>
        <w:t>件。</w:t>
      </w:r>
    </w:p>
    <w:p>
      <w:pPr>
        <w:pStyle w:val="8"/>
        <w:kinsoku w:val="0"/>
        <w:overflowPunct w:val="0"/>
        <w:spacing w:before="58"/>
        <w:ind w:left="600"/>
        <w:rPr>
          <w:sz w:val="24"/>
        </w:rPr>
      </w:pPr>
      <w:r>
        <w:rPr>
          <w:rFonts w:hint="eastAsia"/>
          <w:sz w:val="24"/>
        </w:rPr>
        <w:t>采用全部人工评标的，记录各评委的评定结果，确定中标单位。系统在网站上发布中标公告。</w:t>
      </w:r>
    </w:p>
    <w:p>
      <w:pPr>
        <w:kinsoku w:val="0"/>
        <w:overflowPunct w:val="0"/>
        <w:spacing w:before="2" w:line="130" w:lineRule="exact"/>
        <w:rPr>
          <w:sz w:val="13"/>
        </w:rPr>
      </w:pPr>
    </w:p>
    <w:p>
      <w:pPr>
        <w:kinsoku w:val="0"/>
        <w:overflowPunct w:val="0"/>
        <w:spacing w:line="200" w:lineRule="exact"/>
        <w:rPr>
          <w:sz w:val="20"/>
        </w:rPr>
      </w:pPr>
    </w:p>
    <w:p>
      <w:pPr>
        <w:kinsoku w:val="0"/>
        <w:overflowPunct w:val="0"/>
        <w:spacing w:before="6" w:line="280" w:lineRule="exact"/>
        <w:rPr>
          <w:sz w:val="28"/>
        </w:rPr>
      </w:pPr>
    </w:p>
    <w:p>
      <w:pPr>
        <w:pStyle w:val="26"/>
        <w:kinsoku w:val="0"/>
        <w:overflowPunct w:val="0"/>
        <w:rPr>
          <w:rFonts w:hint="default"/>
        </w:rPr>
      </w:pPr>
      <w:r>
        <w:rPr>
          <w:rFonts w:hint="default" w:ascii="Calibri" w:hAnsi="Calibri" w:eastAsia="Calibri"/>
          <w:spacing w:val="-1"/>
        </w:rPr>
        <w:t>2.3</w:t>
      </w:r>
      <w:r>
        <w:rPr>
          <w:rFonts w:hint="default" w:ascii="Calibri" w:hAnsi="Calibri" w:eastAsia="Calibri"/>
        </w:rPr>
        <w:t>.</w:t>
      </w:r>
      <w:r>
        <w:rPr>
          <w:rFonts w:hint="default" w:ascii="Calibri" w:hAnsi="Calibri" w:eastAsia="Calibri"/>
          <w:spacing w:val="-1"/>
        </w:rPr>
        <w:t>1</w:t>
      </w:r>
      <w:r>
        <w:rPr>
          <w:rFonts w:hint="default" w:ascii="Calibri" w:hAnsi="Calibri" w:eastAsia="Calibri"/>
          <w:spacing w:val="1"/>
        </w:rPr>
        <w:t>3</w:t>
      </w:r>
      <w:r>
        <w:rPr>
          <w:rFonts w:hint="default" w:ascii="Calibri" w:hAnsi="Calibri" w:eastAsia="Calibri"/>
        </w:rPr>
        <w:t>.</w:t>
      </w:r>
      <w:r>
        <w:rPr>
          <w:rFonts w:hint="default" w:ascii="Calibri" w:hAnsi="Calibri" w:eastAsia="Calibri"/>
          <w:spacing w:val="-3"/>
        </w:rPr>
        <w:t xml:space="preserve"> </w:t>
      </w:r>
      <w:r>
        <w:rPr>
          <w:spacing w:val="2"/>
        </w:rPr>
        <w:t>备</w:t>
      </w:r>
      <w:r>
        <w:t>案</w:t>
      </w:r>
      <w:r>
        <w:rPr>
          <w:spacing w:val="2"/>
        </w:rPr>
        <w:t>、</w:t>
      </w:r>
      <w:r>
        <w:t>验</w:t>
      </w:r>
      <w:r>
        <w:rPr>
          <w:spacing w:val="2"/>
        </w:rPr>
        <w:t>收</w:t>
      </w:r>
      <w:r>
        <w:t>和</w:t>
      </w:r>
      <w:r>
        <w:rPr>
          <w:spacing w:val="2"/>
        </w:rPr>
        <w:t>归</w:t>
      </w:r>
      <w:r>
        <w:t>档</w:t>
      </w:r>
    </w:p>
    <w:p>
      <w:pPr>
        <w:kinsoku w:val="0"/>
        <w:overflowPunct w:val="0"/>
        <w:spacing w:before="7" w:line="150" w:lineRule="exact"/>
        <w:rPr>
          <w:sz w:val="15"/>
        </w:rPr>
      </w:pPr>
    </w:p>
    <w:p>
      <w:pPr>
        <w:pStyle w:val="8"/>
        <w:kinsoku w:val="0"/>
        <w:overflowPunct w:val="0"/>
        <w:spacing w:line="274" w:lineRule="auto"/>
        <w:ind w:left="120" w:right="853" w:firstLine="480"/>
        <w:jc w:val="both"/>
        <w:rPr>
          <w:rFonts w:ascii="宋体" w:hAnsi="宋体" w:cs="宋体"/>
          <w:sz w:val="24"/>
          <w:szCs w:val="24"/>
        </w:rPr>
      </w:pPr>
    </w:p>
    <w:p>
      <w:pPr>
        <w:pStyle w:val="8"/>
        <w:kinsoku w:val="0"/>
        <w:overflowPunct w:val="0"/>
        <w:spacing w:line="274" w:lineRule="auto"/>
        <w:ind w:left="120" w:right="853" w:firstLine="480"/>
        <w:jc w:val="both"/>
        <w:rPr>
          <w:rFonts w:ascii="宋体" w:hAnsi="宋体" w:cs="宋体"/>
          <w:sz w:val="24"/>
          <w:szCs w:val="24"/>
        </w:rPr>
      </w:pPr>
      <w:r>
        <w:rPr>
          <w:rFonts w:hint="eastAsia" w:ascii="宋体" w:hAnsi="宋体" w:cs="宋体"/>
          <w:sz w:val="24"/>
          <w:szCs w:val="24"/>
        </w:rPr>
        <w:t>招标中心在采购人确定中标结果后对中标单位签发中标通知书。采购单位与 供应商签订采购合同，并提交招标中心备案；采购单位在供应商供货后，及时组 织验收，验收意见反馈给招标中心。</w:t>
      </w:r>
    </w:p>
    <w:p>
      <w:pPr>
        <w:pStyle w:val="8"/>
        <w:kinsoku w:val="0"/>
        <w:overflowPunct w:val="0"/>
        <w:spacing w:line="274" w:lineRule="auto"/>
        <w:ind w:left="120" w:right="853" w:firstLine="480"/>
        <w:jc w:val="both"/>
        <w:rPr>
          <w:rFonts w:ascii="宋体" w:hAnsi="宋体" w:cs="宋体"/>
          <w:sz w:val="24"/>
          <w:szCs w:val="24"/>
        </w:rPr>
      </w:pPr>
      <w:r>
        <w:rPr>
          <w:rFonts w:hint="eastAsia" w:ascii="宋体" w:hAnsi="宋体" w:cs="宋体"/>
          <w:sz w:val="24"/>
          <w:szCs w:val="24"/>
        </w:rPr>
        <w:t>招标中心按照中标结果、合同备案情况及采购单位的验收意见，签署结算意 见。国库和会计核算中心按照合同约定支付采购费用。</w:t>
      </w:r>
    </w:p>
    <w:p>
      <w:pPr>
        <w:pStyle w:val="8"/>
        <w:kinsoku w:val="0"/>
        <w:overflowPunct w:val="0"/>
        <w:spacing w:before="13"/>
        <w:rPr>
          <w:sz w:val="20"/>
        </w:rPr>
      </w:pPr>
      <w:r>
        <w:rPr>
          <w:rFonts w:hint="eastAsia"/>
          <w:spacing w:val="2"/>
          <w:sz w:val="36"/>
        </w:rPr>
        <w:t xml:space="preserve">          </w:t>
      </w:r>
    </w:p>
    <w:p>
      <w:pPr>
        <w:pStyle w:val="26"/>
        <w:numPr>
          <w:ilvl w:val="2"/>
          <w:numId w:val="5"/>
        </w:numPr>
        <w:tabs>
          <w:tab w:val="left" w:pos="900"/>
        </w:tabs>
        <w:kinsoku w:val="0"/>
        <w:overflowPunct w:val="0"/>
        <w:ind w:left="900"/>
        <w:rPr>
          <w:rFonts w:hint="default"/>
          <w:sz w:val="15"/>
        </w:rPr>
      </w:pPr>
      <w:r>
        <w:rPr>
          <w:spacing w:val="2"/>
        </w:rPr>
        <w:t>会</w:t>
      </w:r>
      <w:r>
        <w:t>员</w:t>
      </w:r>
      <w:r>
        <w:rPr>
          <w:spacing w:val="2"/>
        </w:rPr>
        <w:t>服</w:t>
      </w:r>
      <w:r>
        <w:t>务</w:t>
      </w:r>
    </w:p>
    <w:p>
      <w:pPr>
        <w:kinsoku w:val="0"/>
        <w:overflowPunct w:val="0"/>
        <w:spacing w:line="200" w:lineRule="exact"/>
        <w:rPr>
          <w:sz w:val="20"/>
        </w:rPr>
      </w:pPr>
    </w:p>
    <w:p>
      <w:pPr>
        <w:pStyle w:val="8"/>
        <w:kinsoku w:val="0"/>
        <w:overflowPunct w:val="0"/>
        <w:spacing w:line="274" w:lineRule="auto"/>
        <w:ind w:left="120" w:right="853" w:firstLine="480"/>
        <w:jc w:val="both"/>
        <w:rPr>
          <w:rFonts w:ascii="宋体" w:hAnsi="宋体" w:cs="宋体"/>
          <w:sz w:val="24"/>
          <w:szCs w:val="24"/>
        </w:rPr>
      </w:pPr>
      <w:r>
        <w:rPr>
          <w:rFonts w:hint="eastAsia" w:ascii="宋体" w:hAnsi="宋体" w:cs="宋体"/>
          <w:sz w:val="24"/>
          <w:szCs w:val="24"/>
        </w:rPr>
        <w:t>包括会员注册、会员登录、会员信息维护等功能。</w:t>
      </w:r>
    </w:p>
    <w:p>
      <w:pPr>
        <w:pStyle w:val="8"/>
        <w:kinsoku w:val="0"/>
        <w:overflowPunct w:val="0"/>
        <w:spacing w:line="274" w:lineRule="auto"/>
        <w:ind w:left="120" w:right="853" w:firstLine="480"/>
        <w:jc w:val="both"/>
        <w:rPr>
          <w:rFonts w:ascii="宋体" w:hAnsi="宋体" w:cs="宋体"/>
          <w:sz w:val="24"/>
          <w:szCs w:val="24"/>
        </w:rPr>
      </w:pPr>
      <w:r>
        <w:rPr>
          <w:rFonts w:ascii="宋体" w:hAnsi="宋体" w:cs="宋体"/>
          <w:sz w:val="24"/>
          <w:szCs w:val="24"/>
        </w:rPr>
        <w:t xml:space="preserve">1.   </w:t>
      </w:r>
      <w:r>
        <w:rPr>
          <w:rFonts w:hint="eastAsia" w:ascii="宋体" w:hAnsi="宋体" w:cs="宋体"/>
          <w:sz w:val="24"/>
          <w:szCs w:val="24"/>
        </w:rPr>
        <w:t>会员注册 使用交易平台的公众有下列四类，浏览用户、普通注册用户、经过审核的真</w:t>
      </w:r>
    </w:p>
    <w:p>
      <w:pPr>
        <w:pStyle w:val="8"/>
        <w:kinsoku w:val="0"/>
        <w:overflowPunct w:val="0"/>
        <w:spacing w:line="274" w:lineRule="auto"/>
        <w:ind w:left="120" w:right="853" w:firstLine="480"/>
        <w:jc w:val="both"/>
        <w:rPr>
          <w:rFonts w:ascii="宋体" w:hAnsi="宋体" w:cs="宋体"/>
          <w:sz w:val="24"/>
          <w:szCs w:val="24"/>
        </w:rPr>
      </w:pPr>
      <w:r>
        <w:rPr>
          <w:rFonts w:hint="eastAsia" w:ascii="宋体" w:hAnsi="宋体" w:cs="宋体"/>
          <w:sz w:val="24"/>
          <w:szCs w:val="24"/>
        </w:rPr>
        <w:t>招标投标外网门户采用统一认证模式，对于第二类用户，可建立临时数据库 保存用户信息，对于后两类用户，采用实名制建立统一的用户数据库和身份认证 平台。对于用户的真实性，</w:t>
      </w:r>
    </w:p>
    <w:p>
      <w:pPr>
        <w:pStyle w:val="8"/>
        <w:kinsoku w:val="0"/>
        <w:overflowPunct w:val="0"/>
        <w:spacing w:line="274" w:lineRule="auto"/>
        <w:ind w:left="120" w:right="853" w:firstLine="480"/>
        <w:jc w:val="both"/>
        <w:rPr>
          <w:rFonts w:ascii="宋体" w:hAnsi="宋体" w:cs="宋体"/>
          <w:sz w:val="24"/>
          <w:szCs w:val="24"/>
        </w:rPr>
      </w:pPr>
      <w:r>
        <w:rPr>
          <w:rFonts w:ascii="宋体" w:hAnsi="宋体" w:cs="宋体"/>
          <w:sz w:val="24"/>
          <w:szCs w:val="24"/>
        </w:rPr>
        <w:t xml:space="preserve">2.   </w:t>
      </w:r>
      <w:r>
        <w:rPr>
          <w:rFonts w:hint="eastAsia" w:ascii="宋体" w:hAnsi="宋体" w:cs="宋体"/>
          <w:sz w:val="24"/>
          <w:szCs w:val="24"/>
        </w:rPr>
        <w:t>会员登录</w:t>
      </w:r>
    </w:p>
    <w:p>
      <w:pPr>
        <w:pStyle w:val="8"/>
        <w:kinsoku w:val="0"/>
        <w:overflowPunct w:val="0"/>
        <w:spacing w:line="274" w:lineRule="auto"/>
        <w:ind w:left="120" w:right="853" w:firstLine="480"/>
        <w:jc w:val="both"/>
        <w:rPr>
          <w:rFonts w:ascii="宋体" w:hAnsi="宋体" w:cs="宋体"/>
          <w:sz w:val="24"/>
          <w:szCs w:val="24"/>
        </w:rPr>
      </w:pPr>
      <w:r>
        <w:rPr>
          <w:rFonts w:hint="eastAsia" w:ascii="宋体" w:hAnsi="宋体" w:cs="宋体"/>
          <w:sz w:val="24"/>
          <w:szCs w:val="24"/>
        </w:rPr>
        <w:t>提供会员身份认证功能。</w:t>
      </w:r>
    </w:p>
    <w:p>
      <w:pPr>
        <w:pStyle w:val="8"/>
        <w:kinsoku w:val="0"/>
        <w:overflowPunct w:val="0"/>
        <w:spacing w:line="364" w:lineRule="exact"/>
        <w:rPr>
          <w:sz w:val="24"/>
        </w:rPr>
      </w:pPr>
      <w:r>
        <w:rPr>
          <w:rFonts w:hint="eastAsia" w:ascii="Calibri" w:hAnsi="Calibri"/>
          <w:sz w:val="24"/>
        </w:rPr>
        <w:t xml:space="preserve">         </w:t>
      </w:r>
      <w:r>
        <w:rPr>
          <w:rFonts w:ascii="Calibri" w:hAnsi="Calibri" w:eastAsia="Calibri"/>
          <w:sz w:val="24"/>
        </w:rPr>
        <w:t xml:space="preserve">3. </w:t>
      </w:r>
      <w:r>
        <w:rPr>
          <w:rFonts w:ascii="Calibri" w:hAnsi="Calibri" w:eastAsia="Calibri"/>
          <w:spacing w:val="52"/>
          <w:sz w:val="24"/>
        </w:rPr>
        <w:t xml:space="preserve"> </w:t>
      </w:r>
      <w:r>
        <w:rPr>
          <w:rFonts w:hint="eastAsia"/>
          <w:sz w:val="24"/>
        </w:rPr>
        <w:t>会员信息维护</w:t>
      </w:r>
    </w:p>
    <w:p>
      <w:pPr>
        <w:pStyle w:val="8"/>
        <w:kinsoku w:val="0"/>
        <w:overflowPunct w:val="0"/>
        <w:spacing w:line="274" w:lineRule="auto"/>
        <w:ind w:left="120" w:right="853" w:firstLine="480"/>
        <w:jc w:val="both"/>
        <w:rPr>
          <w:rFonts w:ascii="宋体" w:hAnsi="宋体" w:cs="宋体"/>
          <w:sz w:val="24"/>
          <w:szCs w:val="24"/>
        </w:rPr>
      </w:pPr>
      <w:r>
        <w:rPr>
          <w:rFonts w:hint="eastAsia" w:ascii="宋体" w:hAnsi="宋体" w:cs="宋体"/>
          <w:sz w:val="24"/>
          <w:szCs w:val="24"/>
        </w:rPr>
        <w:t>会员可以对自己的信息以及资质信息进行维护更新。对联系方式、联系电话 等一般信息可以在网上进行自助修改，但对于资质、业绩等重要信息的修改必须 到监管部门现场核验证件原件后才能生效。</w:t>
      </w:r>
    </w:p>
    <w:p>
      <w:pPr>
        <w:kinsoku w:val="0"/>
        <w:overflowPunct w:val="0"/>
        <w:spacing w:before="6" w:line="280" w:lineRule="exact"/>
        <w:rPr>
          <w:sz w:val="28"/>
        </w:rPr>
      </w:pPr>
    </w:p>
    <w:p>
      <w:pPr>
        <w:pStyle w:val="26"/>
        <w:numPr>
          <w:ilvl w:val="2"/>
          <w:numId w:val="5"/>
        </w:numPr>
        <w:tabs>
          <w:tab w:val="left" w:pos="900"/>
        </w:tabs>
        <w:kinsoku w:val="0"/>
        <w:overflowPunct w:val="0"/>
        <w:ind w:left="900"/>
        <w:rPr>
          <w:rFonts w:hint="default"/>
        </w:rPr>
      </w:pPr>
      <w:r>
        <w:rPr>
          <w:spacing w:val="2"/>
        </w:rPr>
        <w:t>立</w:t>
      </w:r>
      <w:r>
        <w:t>项</w:t>
      </w:r>
      <w:r>
        <w:rPr>
          <w:spacing w:val="2"/>
        </w:rPr>
        <w:t>申</w:t>
      </w:r>
      <w:r>
        <w:t>报</w:t>
      </w:r>
    </w:p>
    <w:p>
      <w:pPr>
        <w:pStyle w:val="8"/>
        <w:kinsoku w:val="0"/>
        <w:overflowPunct w:val="0"/>
        <w:spacing w:line="274" w:lineRule="auto"/>
        <w:ind w:left="120" w:right="853" w:firstLine="480"/>
        <w:jc w:val="both"/>
        <w:rPr>
          <w:rFonts w:ascii="宋体" w:hAnsi="宋体" w:cs="宋体"/>
          <w:sz w:val="24"/>
          <w:szCs w:val="24"/>
        </w:rPr>
      </w:pPr>
    </w:p>
    <w:p>
      <w:pPr>
        <w:pStyle w:val="8"/>
        <w:kinsoku w:val="0"/>
        <w:overflowPunct w:val="0"/>
        <w:spacing w:line="274" w:lineRule="auto"/>
        <w:ind w:left="120" w:right="853" w:firstLine="480"/>
        <w:jc w:val="both"/>
        <w:rPr>
          <w:rFonts w:ascii="宋体" w:hAnsi="宋体" w:cs="宋体"/>
          <w:sz w:val="24"/>
          <w:szCs w:val="24"/>
        </w:rPr>
      </w:pPr>
      <w:r>
        <w:rPr>
          <w:rFonts w:hint="eastAsia" w:ascii="宋体" w:hAnsi="宋体" w:cs="宋体"/>
          <w:sz w:val="24"/>
          <w:szCs w:val="24"/>
        </w:rPr>
        <w:t>为招标人提供编写招标项目核准表、招标公告、资格预审文件、招标文件等 的功能，招标人填写完成后直接提交到交易中，避人审批流程。</w:t>
      </w:r>
    </w:p>
    <w:p>
      <w:pPr>
        <w:kinsoku w:val="0"/>
        <w:overflowPunct w:val="0"/>
        <w:spacing w:before="6" w:line="280" w:lineRule="exact"/>
        <w:rPr>
          <w:sz w:val="28"/>
        </w:rPr>
      </w:pPr>
    </w:p>
    <w:p>
      <w:pPr>
        <w:pStyle w:val="26"/>
        <w:numPr>
          <w:ilvl w:val="2"/>
          <w:numId w:val="5"/>
        </w:numPr>
        <w:tabs>
          <w:tab w:val="left" w:pos="900"/>
        </w:tabs>
        <w:kinsoku w:val="0"/>
        <w:overflowPunct w:val="0"/>
        <w:ind w:left="900"/>
        <w:rPr>
          <w:rFonts w:hint="default"/>
          <w:sz w:val="15"/>
        </w:rPr>
      </w:pPr>
      <w:r>
        <w:rPr>
          <w:spacing w:val="2"/>
        </w:rPr>
        <w:t>交</w:t>
      </w:r>
      <w:r>
        <w:t>易</w:t>
      </w:r>
      <w:r>
        <w:rPr>
          <w:spacing w:val="2"/>
        </w:rPr>
        <w:t>服</w:t>
      </w:r>
      <w:r>
        <w:t>务</w:t>
      </w:r>
    </w:p>
    <w:p>
      <w:pPr>
        <w:kinsoku w:val="0"/>
        <w:overflowPunct w:val="0"/>
        <w:spacing w:line="200" w:lineRule="exact"/>
        <w:rPr>
          <w:sz w:val="20"/>
        </w:rPr>
      </w:pPr>
    </w:p>
    <w:p>
      <w:pPr>
        <w:pStyle w:val="8"/>
        <w:kinsoku w:val="0"/>
        <w:overflowPunct w:val="0"/>
        <w:spacing w:line="274" w:lineRule="auto"/>
        <w:ind w:left="120" w:right="853" w:firstLine="480"/>
        <w:jc w:val="both"/>
        <w:rPr>
          <w:rFonts w:ascii="宋体" w:hAnsi="宋体" w:cs="宋体"/>
          <w:sz w:val="24"/>
          <w:szCs w:val="24"/>
        </w:rPr>
      </w:pPr>
      <w:r>
        <w:rPr>
          <w:rFonts w:hint="eastAsia" w:ascii="宋体" w:hAnsi="宋体" w:cs="宋体"/>
          <w:sz w:val="24"/>
          <w:szCs w:val="24"/>
        </w:rPr>
        <w:t>外网门户主要提供以下服务。</w:t>
      </w:r>
    </w:p>
    <w:p>
      <w:pPr>
        <w:pStyle w:val="8"/>
        <w:numPr>
          <w:ilvl w:val="0"/>
          <w:numId w:val="6"/>
        </w:numPr>
        <w:kinsoku w:val="0"/>
        <w:overflowPunct w:val="0"/>
        <w:spacing w:line="274" w:lineRule="auto"/>
        <w:ind w:left="120" w:right="853" w:firstLine="480"/>
        <w:jc w:val="both"/>
        <w:rPr>
          <w:rFonts w:ascii="宋体" w:hAnsi="宋体" w:cs="宋体"/>
          <w:sz w:val="24"/>
          <w:szCs w:val="24"/>
        </w:rPr>
      </w:pPr>
      <w:r>
        <w:rPr>
          <w:rFonts w:ascii="宋体" w:hAnsi="宋体" w:cs="宋体"/>
          <w:sz w:val="24"/>
          <w:szCs w:val="24"/>
        </w:rPr>
        <w:t xml:space="preserve">  </w:t>
      </w:r>
      <w:r>
        <w:rPr>
          <w:rFonts w:hint="eastAsia" w:ascii="宋体" w:hAnsi="宋体" w:cs="宋体"/>
          <w:sz w:val="24"/>
          <w:szCs w:val="24"/>
        </w:rPr>
        <w:t>标书下载 已申请并通过资格审查的投标人可通过外网门户直接下载标书。</w:t>
      </w:r>
    </w:p>
    <w:p>
      <w:pPr>
        <w:pStyle w:val="8"/>
        <w:kinsoku w:val="0"/>
        <w:overflowPunct w:val="0"/>
        <w:spacing w:line="274" w:lineRule="auto"/>
        <w:ind w:left="600" w:right="853" w:firstLine="0"/>
        <w:jc w:val="both"/>
        <w:rPr>
          <w:rFonts w:ascii="宋体" w:hAnsi="宋体" w:cs="宋体"/>
          <w:sz w:val="24"/>
          <w:szCs w:val="24"/>
        </w:rPr>
      </w:pPr>
      <w:r>
        <w:rPr>
          <w:rFonts w:hint="eastAsia" w:ascii="宋体" w:hAnsi="宋体" w:cs="宋体"/>
          <w:sz w:val="24"/>
          <w:szCs w:val="24"/>
        </w:rPr>
        <w:t xml:space="preserve"> </w:t>
      </w:r>
      <w:r>
        <w:rPr>
          <w:rFonts w:ascii="宋体" w:hAnsi="宋体" w:cs="宋体"/>
          <w:sz w:val="24"/>
          <w:szCs w:val="24"/>
        </w:rPr>
        <w:t xml:space="preserve">2.  </w:t>
      </w:r>
      <w:r>
        <w:rPr>
          <w:rFonts w:hint="eastAsia" w:ascii="宋体" w:hAnsi="宋体" w:cs="宋体"/>
          <w:sz w:val="24"/>
          <w:szCs w:val="24"/>
        </w:rPr>
        <w:t>投标文件提交投标文件完成后通过招标投标外网门户，经内外网数据交换提交到相应的交 易系统。</w:t>
      </w:r>
    </w:p>
    <w:p>
      <w:pPr>
        <w:pStyle w:val="8"/>
        <w:kinsoku w:val="0"/>
        <w:overflowPunct w:val="0"/>
        <w:spacing w:line="274" w:lineRule="auto"/>
        <w:ind w:left="120" w:right="853" w:firstLine="480"/>
        <w:jc w:val="both"/>
        <w:rPr>
          <w:rFonts w:ascii="宋体" w:hAnsi="宋体" w:cs="宋体"/>
          <w:sz w:val="24"/>
          <w:szCs w:val="24"/>
        </w:rPr>
      </w:pPr>
      <w:r>
        <w:rPr>
          <w:rFonts w:ascii="宋体" w:hAnsi="宋体" w:cs="宋体"/>
          <w:sz w:val="24"/>
          <w:szCs w:val="24"/>
        </w:rPr>
        <w:t xml:space="preserve">3.   </w:t>
      </w:r>
      <w:r>
        <w:rPr>
          <w:rFonts w:hint="eastAsia" w:ascii="宋体" w:hAnsi="宋体" w:cs="宋体"/>
          <w:sz w:val="24"/>
          <w:szCs w:val="24"/>
        </w:rPr>
        <w:t>履约评价 项目完成后，用户可对自己权限范围内的对象进行评价以作为其诚信度的依据。如招标人可对投标人进行评价，招标人和投标人可对中价机构进行评价等。</w:t>
      </w:r>
    </w:p>
    <w:p>
      <w:pPr>
        <w:kinsoku w:val="0"/>
        <w:overflowPunct w:val="0"/>
        <w:spacing w:before="2" w:line="130" w:lineRule="exact"/>
        <w:rPr>
          <w:sz w:val="13"/>
        </w:rPr>
      </w:pPr>
    </w:p>
    <w:p>
      <w:pPr>
        <w:kinsoku w:val="0"/>
        <w:overflowPunct w:val="0"/>
        <w:spacing w:line="200" w:lineRule="exact"/>
        <w:rPr>
          <w:sz w:val="20"/>
        </w:rPr>
      </w:pPr>
    </w:p>
    <w:p>
      <w:pPr>
        <w:pStyle w:val="26"/>
        <w:numPr>
          <w:ilvl w:val="2"/>
          <w:numId w:val="5"/>
        </w:numPr>
        <w:tabs>
          <w:tab w:val="left" w:pos="900"/>
        </w:tabs>
        <w:kinsoku w:val="0"/>
        <w:overflowPunct w:val="0"/>
        <w:ind w:left="900"/>
        <w:rPr>
          <w:rFonts w:hint="default" w:ascii="宋体" w:hAnsi="宋体" w:eastAsia="宋体" w:cs="宋体"/>
          <w:sz w:val="24"/>
          <w:szCs w:val="24"/>
        </w:rPr>
      </w:pPr>
      <w:r>
        <w:rPr>
          <w:spacing w:val="2"/>
        </w:rPr>
        <w:t>网</w:t>
      </w:r>
      <w:r>
        <w:t>上</w:t>
      </w:r>
      <w:r>
        <w:rPr>
          <w:spacing w:val="2"/>
        </w:rPr>
        <w:t>查</w:t>
      </w:r>
      <w:r>
        <w:t>询</w:t>
      </w:r>
    </w:p>
    <w:p>
      <w:pPr>
        <w:pStyle w:val="8"/>
        <w:kinsoku w:val="0"/>
        <w:overflowPunct w:val="0"/>
        <w:spacing w:line="274" w:lineRule="auto"/>
        <w:ind w:left="600" w:right="853" w:firstLine="0"/>
        <w:jc w:val="both"/>
        <w:rPr>
          <w:rFonts w:ascii="宋体" w:hAnsi="宋体" w:cs="宋体"/>
          <w:sz w:val="24"/>
          <w:szCs w:val="24"/>
        </w:rPr>
      </w:pPr>
      <w:r>
        <w:rPr>
          <w:rFonts w:hint="eastAsia" w:ascii="宋体" w:hAnsi="宋体" w:cs="宋体"/>
          <w:sz w:val="24"/>
          <w:szCs w:val="24"/>
        </w:rPr>
        <w:t xml:space="preserve">   网上查询模块能够根据不同需求，实现各种条件下的单项查询和组合查询功 能，支持无限次跟踪查询，支持精确、模糊及包含等多种查询。</w:t>
      </w:r>
    </w:p>
    <w:p>
      <w:pPr>
        <w:pStyle w:val="8"/>
        <w:kinsoku w:val="0"/>
        <w:overflowPunct w:val="0"/>
        <w:spacing w:line="274" w:lineRule="auto"/>
        <w:ind w:left="600" w:right="853" w:firstLine="0"/>
        <w:jc w:val="both"/>
        <w:rPr>
          <w:rFonts w:ascii="宋体" w:hAnsi="宋体" w:cs="宋体"/>
          <w:sz w:val="24"/>
          <w:szCs w:val="24"/>
        </w:rPr>
      </w:pPr>
      <w:r>
        <w:rPr>
          <w:rFonts w:hint="eastAsia" w:ascii="宋体" w:hAnsi="宋体" w:cs="宋体"/>
          <w:sz w:val="24"/>
          <w:szCs w:val="24"/>
        </w:rPr>
        <w:t xml:space="preserve">   网上查询功能可以查询的信息包括：政务信息、公示信息、咨询及投诉回复 信息、交易进度信息、中介机构及投标人诚信信息等。</w:t>
      </w:r>
    </w:p>
    <w:p>
      <w:pPr>
        <w:pStyle w:val="26"/>
        <w:numPr>
          <w:ilvl w:val="2"/>
          <w:numId w:val="5"/>
        </w:numPr>
        <w:tabs>
          <w:tab w:val="left" w:pos="900"/>
        </w:tabs>
        <w:kinsoku w:val="0"/>
        <w:overflowPunct w:val="0"/>
        <w:ind w:left="900" w:right="6435"/>
        <w:jc w:val="both"/>
        <w:rPr>
          <w:rFonts w:hint="default"/>
          <w:sz w:val="15"/>
        </w:rPr>
      </w:pPr>
      <w:r>
        <w:rPr>
          <w:spacing w:val="1"/>
          <w:w w:val="95"/>
        </w:rPr>
        <w:t>交</w:t>
      </w:r>
      <w:r>
        <w:rPr>
          <w:w w:val="95"/>
        </w:rPr>
        <w:t>流</w:t>
      </w:r>
      <w:r>
        <w:rPr>
          <w:spacing w:val="1"/>
          <w:w w:val="95"/>
        </w:rPr>
        <w:t>互</w:t>
      </w:r>
      <w:r>
        <w:rPr>
          <w:w w:val="95"/>
        </w:rPr>
        <w:t>动</w:t>
      </w:r>
    </w:p>
    <w:p>
      <w:pPr>
        <w:kinsoku w:val="0"/>
        <w:overflowPunct w:val="0"/>
        <w:spacing w:line="200" w:lineRule="exact"/>
        <w:rPr>
          <w:sz w:val="20"/>
        </w:rPr>
      </w:pPr>
    </w:p>
    <w:p>
      <w:pPr>
        <w:pStyle w:val="8"/>
        <w:kinsoku w:val="0"/>
        <w:overflowPunct w:val="0"/>
        <w:ind w:left="600"/>
        <w:rPr>
          <w:sz w:val="24"/>
        </w:rPr>
      </w:pPr>
      <w:r>
        <w:rPr>
          <w:rFonts w:hint="eastAsia"/>
          <w:sz w:val="24"/>
        </w:rPr>
        <w:t>包括网上咨询和网上投诉两个栏目。</w:t>
      </w:r>
    </w:p>
    <w:p>
      <w:pPr>
        <w:pStyle w:val="8"/>
        <w:kinsoku w:val="0"/>
        <w:overflowPunct w:val="0"/>
        <w:spacing w:line="274" w:lineRule="auto"/>
        <w:ind w:left="600" w:right="853" w:firstLine="0"/>
        <w:jc w:val="both"/>
        <w:rPr>
          <w:rFonts w:ascii="宋体" w:hAnsi="宋体" w:cs="宋体"/>
          <w:sz w:val="24"/>
          <w:szCs w:val="24"/>
        </w:rPr>
      </w:pPr>
      <w:r>
        <w:rPr>
          <w:rFonts w:ascii="宋体" w:hAnsi="宋体" w:cs="宋体"/>
          <w:sz w:val="24"/>
          <w:szCs w:val="24"/>
        </w:rPr>
        <w:t xml:space="preserve">1.   </w:t>
      </w:r>
      <w:r>
        <w:rPr>
          <w:rFonts w:hint="eastAsia" w:ascii="宋体" w:hAnsi="宋体" w:cs="宋体"/>
          <w:sz w:val="24"/>
          <w:szCs w:val="24"/>
        </w:rPr>
        <w:t>网上咨询 为招标投标外网门户注册用户及公众提供网上咨询及交流的平台，用户将相关业务的疑问和意见，向交易中心的相关管理人员进行咨询，交易中心将在规定 的时间内通过网站进行答复。对于市民比较关心的或具有代表性的问题进行答复 公示。</w:t>
      </w:r>
    </w:p>
    <w:p>
      <w:pPr>
        <w:pStyle w:val="8"/>
        <w:kinsoku w:val="0"/>
        <w:overflowPunct w:val="0"/>
        <w:spacing w:line="274" w:lineRule="auto"/>
        <w:ind w:left="600" w:right="853" w:firstLine="0"/>
        <w:jc w:val="both"/>
        <w:rPr>
          <w:rFonts w:ascii="宋体" w:hAnsi="宋体" w:cs="宋体"/>
          <w:sz w:val="24"/>
          <w:szCs w:val="24"/>
        </w:rPr>
      </w:pPr>
      <w:r>
        <w:rPr>
          <w:rFonts w:ascii="宋体" w:hAnsi="宋体" w:cs="宋体"/>
          <w:sz w:val="24"/>
          <w:szCs w:val="24"/>
        </w:rPr>
        <w:t xml:space="preserve">2.   </w:t>
      </w:r>
      <w:r>
        <w:rPr>
          <w:rFonts w:hint="eastAsia" w:ascii="宋体" w:hAnsi="宋体" w:cs="宋体"/>
          <w:sz w:val="24"/>
          <w:szCs w:val="24"/>
        </w:rPr>
        <w:t>网上投诉 本栏目主要是为用户提供一个上投诉的平台，投诉的内容会直接提交给中心领导查看，并通过后台管理平台，对投诉的信息进行处理和回复。通过该功能更 能体现政府行政的公开、公平和公正性，提高政府的服务质素。</w:t>
      </w:r>
    </w:p>
    <w:p>
      <w:pPr>
        <w:kinsoku w:val="0"/>
        <w:overflowPunct w:val="0"/>
        <w:spacing w:before="6" w:line="280" w:lineRule="exact"/>
        <w:rPr>
          <w:sz w:val="28"/>
        </w:rPr>
      </w:pPr>
    </w:p>
    <w:p>
      <w:pPr>
        <w:pStyle w:val="26"/>
        <w:numPr>
          <w:ilvl w:val="2"/>
          <w:numId w:val="5"/>
        </w:numPr>
        <w:tabs>
          <w:tab w:val="left" w:pos="900"/>
        </w:tabs>
        <w:kinsoku w:val="0"/>
        <w:overflowPunct w:val="0"/>
        <w:ind w:left="900" w:right="6135"/>
        <w:jc w:val="both"/>
        <w:rPr>
          <w:rFonts w:hint="default"/>
          <w:sz w:val="15"/>
        </w:rPr>
      </w:pPr>
      <w:r>
        <w:rPr>
          <w:spacing w:val="1"/>
          <w:w w:val="95"/>
        </w:rPr>
        <w:t>个</w:t>
      </w:r>
      <w:r>
        <w:rPr>
          <w:w w:val="95"/>
        </w:rPr>
        <w:t>性</w:t>
      </w:r>
      <w:r>
        <w:rPr>
          <w:spacing w:val="1"/>
          <w:w w:val="95"/>
        </w:rPr>
        <w:t>化</w:t>
      </w:r>
      <w:r>
        <w:rPr>
          <w:w w:val="95"/>
        </w:rPr>
        <w:t>服务</w:t>
      </w:r>
    </w:p>
    <w:p>
      <w:pPr>
        <w:pStyle w:val="8"/>
        <w:kinsoku w:val="0"/>
        <w:overflowPunct w:val="0"/>
        <w:spacing w:line="274" w:lineRule="auto"/>
        <w:ind w:left="600" w:right="853" w:firstLine="0"/>
        <w:jc w:val="both"/>
        <w:rPr>
          <w:rFonts w:ascii="宋体" w:hAnsi="宋体" w:cs="宋体"/>
          <w:sz w:val="24"/>
          <w:szCs w:val="24"/>
        </w:rPr>
      </w:pPr>
    </w:p>
    <w:p>
      <w:pPr>
        <w:pStyle w:val="8"/>
        <w:kinsoku w:val="0"/>
        <w:overflowPunct w:val="0"/>
        <w:spacing w:line="274" w:lineRule="auto"/>
        <w:ind w:left="600" w:right="853" w:firstLine="0"/>
        <w:jc w:val="both"/>
        <w:rPr>
          <w:rFonts w:ascii="宋体" w:hAnsi="宋体" w:cs="宋体"/>
          <w:sz w:val="24"/>
          <w:szCs w:val="24"/>
        </w:rPr>
      </w:pPr>
      <w:r>
        <w:rPr>
          <w:rFonts w:hint="eastAsia" w:ascii="宋体" w:hAnsi="宋体" w:cs="宋体"/>
          <w:sz w:val="24"/>
          <w:szCs w:val="24"/>
        </w:rPr>
        <w:t>系统将创建用户资料库，以提供个性化 的服务，包括个性化空间、智能引导、智能提醒等。</w:t>
      </w:r>
    </w:p>
    <w:p>
      <w:pPr>
        <w:pStyle w:val="8"/>
        <w:kinsoku w:val="0"/>
        <w:overflowPunct w:val="0"/>
        <w:spacing w:line="274" w:lineRule="auto"/>
        <w:ind w:left="600" w:right="853" w:firstLine="0"/>
        <w:jc w:val="both"/>
        <w:rPr>
          <w:rFonts w:ascii="宋体" w:hAnsi="宋体" w:cs="宋体"/>
          <w:sz w:val="24"/>
          <w:szCs w:val="24"/>
        </w:rPr>
      </w:pPr>
      <w:r>
        <w:rPr>
          <w:rFonts w:hint="eastAsia" w:ascii="宋体" w:hAnsi="宋体" w:cs="宋体"/>
          <w:sz w:val="24"/>
          <w:szCs w:val="24"/>
        </w:rPr>
        <w:t xml:space="preserve">          </w:t>
      </w:r>
      <w:r>
        <w:rPr>
          <w:rFonts w:ascii="宋体" w:hAnsi="宋体" w:cs="宋体"/>
          <w:sz w:val="24"/>
          <w:szCs w:val="24"/>
        </w:rPr>
        <w:t xml:space="preserve">1.   </w:t>
      </w:r>
      <w:r>
        <w:rPr>
          <w:rFonts w:hint="eastAsia" w:ascii="宋体" w:hAnsi="宋体" w:cs="宋体"/>
          <w:sz w:val="24"/>
          <w:szCs w:val="24"/>
        </w:rPr>
        <w:t>个性化空间可通过外网门户进入个性化空间进行个性化设置、咨询、对历史交易及现有交易查询、在线申报、时间预约等操作。可查询基本信息、已有材料目录、交易 进度、过程信自（如需要补交的材料、是否通道）等信息。等，系统能给出智能提醒功能。</w:t>
      </w:r>
    </w:p>
    <w:p>
      <w:pPr>
        <w:kinsoku w:val="0"/>
        <w:overflowPunct w:val="0"/>
        <w:spacing w:line="200" w:lineRule="exact"/>
        <w:ind w:left="0" w:firstLine="0"/>
        <w:rPr>
          <w:sz w:val="20"/>
        </w:rPr>
      </w:pPr>
    </w:p>
    <w:p>
      <w:pPr>
        <w:pStyle w:val="26"/>
        <w:numPr>
          <w:ilvl w:val="2"/>
          <w:numId w:val="5"/>
        </w:numPr>
        <w:tabs>
          <w:tab w:val="left" w:pos="900"/>
        </w:tabs>
        <w:kinsoku w:val="0"/>
        <w:overflowPunct w:val="0"/>
        <w:ind w:left="900"/>
        <w:rPr>
          <w:rFonts w:hint="default"/>
        </w:rPr>
      </w:pPr>
      <w:r>
        <w:rPr>
          <w:spacing w:val="2"/>
        </w:rPr>
        <w:t>系</w:t>
      </w:r>
      <w:r>
        <w:t>统</w:t>
      </w:r>
      <w:r>
        <w:rPr>
          <w:spacing w:val="2"/>
        </w:rPr>
        <w:t>管</w:t>
      </w:r>
      <w:r>
        <w:t>理</w:t>
      </w:r>
    </w:p>
    <w:p>
      <w:pPr>
        <w:kinsoku w:val="0"/>
        <w:overflowPunct w:val="0"/>
        <w:spacing w:line="200" w:lineRule="exact"/>
        <w:ind w:left="0" w:firstLine="0"/>
        <w:rPr>
          <w:sz w:val="20"/>
        </w:rPr>
      </w:pPr>
    </w:p>
    <w:p>
      <w:pPr>
        <w:pStyle w:val="8"/>
        <w:kinsoku w:val="0"/>
        <w:overflowPunct w:val="0"/>
        <w:spacing w:line="274" w:lineRule="auto"/>
        <w:ind w:left="600" w:right="853" w:firstLine="0"/>
        <w:jc w:val="both"/>
        <w:rPr>
          <w:rFonts w:ascii="宋体" w:hAnsi="宋体" w:cs="宋体"/>
          <w:sz w:val="24"/>
          <w:szCs w:val="24"/>
        </w:rPr>
      </w:pPr>
      <w:r>
        <w:rPr>
          <w:rFonts w:hint="eastAsia" w:ascii="宋体" w:hAnsi="宋体" w:cs="宋体"/>
          <w:sz w:val="24"/>
          <w:szCs w:val="24"/>
        </w:rPr>
        <w:t>系统管理是用来维系系统正常运转的关键部分，主要维护的内容有：系统用 户管理、极限管理、标准代码、系统日志管理和数据库的备份恢复等。</w:t>
      </w:r>
    </w:p>
    <w:p>
      <w:pPr>
        <w:pStyle w:val="8"/>
        <w:kinsoku w:val="0"/>
        <w:overflowPunct w:val="0"/>
        <w:spacing w:line="274" w:lineRule="auto"/>
        <w:ind w:left="600" w:right="853" w:firstLine="0"/>
        <w:jc w:val="both"/>
        <w:rPr>
          <w:rFonts w:ascii="宋体" w:hAnsi="宋体" w:cs="宋体"/>
          <w:sz w:val="24"/>
          <w:szCs w:val="24"/>
        </w:rPr>
      </w:pPr>
      <w:r>
        <w:rPr>
          <w:rFonts w:ascii="宋体" w:hAnsi="宋体" w:cs="宋体"/>
          <w:sz w:val="24"/>
          <w:szCs w:val="24"/>
        </w:rPr>
        <w:t>1)</w:t>
      </w:r>
      <w:r>
        <w:rPr>
          <w:rFonts w:ascii="宋体" w:hAnsi="宋体" w:cs="宋体"/>
          <w:sz w:val="24"/>
          <w:szCs w:val="24"/>
        </w:rPr>
        <w:tab/>
      </w:r>
      <w:r>
        <w:rPr>
          <w:rFonts w:hint="eastAsia" w:ascii="宋体" w:hAnsi="宋体" w:cs="宋体"/>
          <w:sz w:val="24"/>
          <w:szCs w:val="24"/>
        </w:rPr>
        <w:t>系统用户管理 可以添加用户、修改用户信息、删除用户、修改用户口令等操作。可以查看</w:t>
      </w:r>
    </w:p>
    <w:p>
      <w:pPr>
        <w:pStyle w:val="8"/>
        <w:kinsoku w:val="0"/>
        <w:overflowPunct w:val="0"/>
        <w:spacing w:line="274" w:lineRule="auto"/>
        <w:ind w:left="600" w:right="853" w:firstLine="0"/>
        <w:jc w:val="both"/>
        <w:rPr>
          <w:rFonts w:ascii="宋体" w:hAnsi="宋体" w:cs="宋体"/>
          <w:sz w:val="24"/>
          <w:szCs w:val="24"/>
        </w:rPr>
      </w:pPr>
      <w:r>
        <w:rPr>
          <w:rFonts w:hint="eastAsia" w:ascii="宋体" w:hAnsi="宋体" w:cs="宋体"/>
          <w:sz w:val="24"/>
          <w:szCs w:val="24"/>
        </w:rPr>
        <w:t>用户的权限，对用户的权限进行管理。机构用户可以创建本机构的内部用户。</w:t>
      </w:r>
    </w:p>
    <w:p>
      <w:pPr>
        <w:pStyle w:val="8"/>
        <w:kinsoku w:val="0"/>
        <w:overflowPunct w:val="0"/>
        <w:spacing w:line="274" w:lineRule="auto"/>
        <w:ind w:left="600" w:right="853" w:firstLine="0"/>
        <w:jc w:val="both"/>
        <w:rPr>
          <w:rFonts w:ascii="宋体" w:hAnsi="宋体" w:cs="宋体"/>
          <w:sz w:val="24"/>
          <w:szCs w:val="24"/>
        </w:rPr>
      </w:pPr>
      <w:r>
        <w:rPr>
          <w:rFonts w:ascii="宋体" w:hAnsi="宋体" w:cs="宋体"/>
          <w:sz w:val="24"/>
          <w:szCs w:val="24"/>
        </w:rPr>
        <w:t>2)</w:t>
      </w:r>
      <w:r>
        <w:rPr>
          <w:rFonts w:ascii="宋体" w:hAnsi="宋体" w:cs="宋体"/>
          <w:sz w:val="24"/>
          <w:szCs w:val="24"/>
        </w:rPr>
        <w:tab/>
      </w:r>
      <w:r>
        <w:rPr>
          <w:rFonts w:hint="eastAsia" w:ascii="宋体" w:hAnsi="宋体" w:cs="宋体"/>
          <w:sz w:val="24"/>
          <w:szCs w:val="24"/>
        </w:rPr>
        <w:t>权限管理</w:t>
      </w:r>
    </w:p>
    <w:p>
      <w:pPr>
        <w:pStyle w:val="8"/>
        <w:kinsoku w:val="0"/>
        <w:overflowPunct w:val="0"/>
        <w:spacing w:line="274" w:lineRule="auto"/>
        <w:ind w:left="600" w:right="853" w:firstLine="0"/>
        <w:jc w:val="both"/>
        <w:rPr>
          <w:rFonts w:ascii="宋体" w:hAnsi="宋体" w:cs="宋体"/>
          <w:sz w:val="24"/>
          <w:szCs w:val="24"/>
        </w:rPr>
      </w:pPr>
      <w:r>
        <w:rPr>
          <w:rFonts w:hint="eastAsia" w:ascii="宋体" w:hAnsi="宋体" w:cs="宋体"/>
          <w:sz w:val="24"/>
          <w:szCs w:val="24"/>
        </w:rPr>
        <w:t>权限管理主要包括功能权限设置、访问内容权限设置等方面内容，采用用户 目录树的编辑和设置来实现极限管理。</w:t>
      </w:r>
    </w:p>
    <w:p>
      <w:pPr>
        <w:pStyle w:val="8"/>
        <w:kinsoku w:val="0"/>
        <w:overflowPunct w:val="0"/>
        <w:spacing w:line="274" w:lineRule="auto"/>
        <w:ind w:left="600" w:right="853" w:firstLine="0"/>
        <w:jc w:val="both"/>
        <w:rPr>
          <w:rFonts w:ascii="宋体" w:hAnsi="宋体" w:cs="宋体"/>
          <w:sz w:val="24"/>
          <w:szCs w:val="24"/>
        </w:rPr>
      </w:pPr>
      <w:r>
        <w:rPr>
          <w:rFonts w:hint="eastAsia" w:ascii="宋体" w:hAnsi="宋体" w:cs="宋体"/>
          <w:sz w:val="24"/>
          <w:szCs w:val="24"/>
        </w:rPr>
        <w:t>系统实现角色权限管理。角色权限是系统管理员授予角色对于系统的功能模 块进行业务处理、业务查询的权限，角色权限主要根据部门或业务类型进行划分， 一般主要是分成业务处理和业务查询等几大类，系统对于某个角色进行授权后， 属于这个角色的所有用户也具有该角色的所有权限。机构用户的管理员可以设置 本机构的内部用户权限。</w:t>
      </w:r>
    </w:p>
    <w:p>
      <w:pPr>
        <w:pStyle w:val="8"/>
        <w:kinsoku w:val="0"/>
        <w:overflowPunct w:val="0"/>
        <w:spacing w:line="274" w:lineRule="auto"/>
        <w:ind w:left="600" w:right="853" w:firstLine="0"/>
        <w:jc w:val="both"/>
        <w:rPr>
          <w:rFonts w:ascii="宋体" w:hAnsi="宋体" w:cs="宋体"/>
          <w:sz w:val="24"/>
          <w:szCs w:val="24"/>
        </w:rPr>
      </w:pPr>
      <w:r>
        <w:rPr>
          <w:rFonts w:ascii="宋体" w:hAnsi="宋体" w:cs="宋体"/>
          <w:sz w:val="24"/>
          <w:szCs w:val="24"/>
        </w:rPr>
        <w:t>3)</w:t>
      </w:r>
      <w:r>
        <w:rPr>
          <w:rFonts w:ascii="宋体" w:hAnsi="宋体" w:cs="宋体"/>
          <w:sz w:val="24"/>
          <w:szCs w:val="24"/>
        </w:rPr>
        <w:tab/>
      </w:r>
      <w:r>
        <w:rPr>
          <w:rFonts w:hint="eastAsia" w:ascii="宋体" w:hAnsi="宋体" w:cs="宋体"/>
          <w:sz w:val="24"/>
          <w:szCs w:val="24"/>
        </w:rPr>
        <w:t>标准代码管理 系统要求数据、代码、符号名称等应严格按照相关标准和法律条文中的全称</w:t>
      </w:r>
    </w:p>
    <w:p>
      <w:pPr>
        <w:pStyle w:val="8"/>
        <w:kinsoku w:val="0"/>
        <w:overflowPunct w:val="0"/>
        <w:spacing w:line="274" w:lineRule="auto"/>
        <w:ind w:left="600" w:right="853" w:firstLine="0"/>
        <w:jc w:val="both"/>
        <w:rPr>
          <w:rFonts w:ascii="宋体" w:hAnsi="宋体" w:cs="宋体"/>
          <w:sz w:val="24"/>
          <w:szCs w:val="24"/>
        </w:rPr>
      </w:pPr>
      <w:r>
        <w:rPr>
          <w:rFonts w:hint="eastAsia" w:ascii="宋体" w:hAnsi="宋体" w:cs="宋体"/>
          <w:sz w:val="24"/>
          <w:szCs w:val="24"/>
        </w:rPr>
        <w:t>进行录入，否则系统应不予支持。在使用系统时，需对标准代码进行维护和管理。 标准代码管理功能包括：添加标准代码信息、修改标准代码信息等。</w:t>
      </w:r>
    </w:p>
    <w:p>
      <w:pPr>
        <w:pStyle w:val="8"/>
        <w:kinsoku w:val="0"/>
        <w:overflowPunct w:val="0"/>
        <w:spacing w:line="274" w:lineRule="auto"/>
        <w:ind w:left="600" w:right="853" w:firstLine="0"/>
        <w:jc w:val="both"/>
        <w:rPr>
          <w:rFonts w:ascii="宋体" w:hAnsi="宋体" w:cs="宋体"/>
          <w:sz w:val="24"/>
          <w:szCs w:val="24"/>
        </w:rPr>
      </w:pPr>
      <w:r>
        <w:rPr>
          <w:rFonts w:hint="eastAsia" w:ascii="宋体" w:hAnsi="宋体" w:cs="宋体"/>
          <w:sz w:val="24"/>
          <w:szCs w:val="24"/>
        </w:rPr>
        <w:t>标准代码提供代码录入方式、拼音字头录入方式和下拉菜单方式等多种录入</w:t>
      </w:r>
    </w:p>
    <w:p>
      <w:pPr>
        <w:pStyle w:val="8"/>
        <w:kinsoku w:val="0"/>
        <w:overflowPunct w:val="0"/>
        <w:spacing w:line="274" w:lineRule="auto"/>
        <w:ind w:left="600" w:right="853" w:firstLine="0"/>
        <w:jc w:val="both"/>
        <w:rPr>
          <w:rFonts w:ascii="宋体" w:hAnsi="宋体" w:cs="宋体"/>
          <w:sz w:val="24"/>
          <w:szCs w:val="24"/>
        </w:rPr>
      </w:pPr>
      <w:r>
        <w:rPr>
          <w:rFonts w:hint="eastAsia" w:ascii="宋体" w:hAnsi="宋体" w:cs="宋体"/>
          <w:sz w:val="24"/>
          <w:szCs w:val="24"/>
        </w:rPr>
        <w:t>方式。</w:t>
      </w:r>
    </w:p>
    <w:p>
      <w:pPr>
        <w:pStyle w:val="8"/>
        <w:kinsoku w:val="0"/>
        <w:overflowPunct w:val="0"/>
        <w:spacing w:line="274" w:lineRule="auto"/>
        <w:ind w:left="600" w:right="853" w:firstLine="0"/>
        <w:jc w:val="both"/>
        <w:rPr>
          <w:rFonts w:ascii="宋体" w:hAnsi="宋体" w:cs="宋体"/>
          <w:sz w:val="24"/>
          <w:szCs w:val="24"/>
        </w:rPr>
      </w:pPr>
      <w:r>
        <w:rPr>
          <w:rFonts w:ascii="宋体" w:hAnsi="宋体" w:cs="宋体"/>
          <w:sz w:val="24"/>
          <w:szCs w:val="24"/>
        </w:rPr>
        <w:t>4)</w:t>
      </w:r>
      <w:r>
        <w:rPr>
          <w:rFonts w:ascii="宋体" w:hAnsi="宋体" w:cs="宋体"/>
          <w:sz w:val="24"/>
          <w:szCs w:val="24"/>
        </w:rPr>
        <w:tab/>
      </w:r>
      <w:r>
        <w:rPr>
          <w:rFonts w:hint="eastAsia" w:ascii="宋体" w:hAnsi="宋体" w:cs="宋体"/>
          <w:sz w:val="24"/>
          <w:szCs w:val="24"/>
        </w:rPr>
        <w:t>日志管理</w:t>
      </w:r>
    </w:p>
    <w:p>
      <w:pPr>
        <w:pStyle w:val="8"/>
        <w:kinsoku w:val="0"/>
        <w:overflowPunct w:val="0"/>
        <w:spacing w:line="274" w:lineRule="auto"/>
        <w:ind w:left="600" w:right="853" w:firstLine="0"/>
        <w:jc w:val="both"/>
        <w:rPr>
          <w:rFonts w:ascii="宋体" w:hAnsi="宋体" w:cs="宋体"/>
          <w:sz w:val="24"/>
          <w:szCs w:val="24"/>
        </w:rPr>
      </w:pPr>
      <w:r>
        <w:rPr>
          <w:rFonts w:hint="eastAsia" w:ascii="宋体" w:hAnsi="宋体" w:cs="宋体"/>
          <w:sz w:val="24"/>
          <w:szCs w:val="24"/>
        </w:rPr>
        <w:t>日志管理模块的功能，包括新增操作日志、修改操作日志、删除操作日志、 交易操作日志、查询操作日志、传输操作日志等。所有的操作均需由系统自动在 日志中记录，生成的日志不可修改，系统提供日志查询和删除的功能，并提供日 志整理归档功能，可将历史的日志记录转储到其他存储介质上。</w:t>
      </w:r>
    </w:p>
    <w:p>
      <w:pPr>
        <w:pStyle w:val="8"/>
        <w:kinsoku w:val="0"/>
        <w:overflowPunct w:val="0"/>
        <w:spacing w:line="274" w:lineRule="auto"/>
        <w:ind w:left="600" w:right="853" w:firstLine="0"/>
        <w:jc w:val="both"/>
        <w:rPr>
          <w:rFonts w:ascii="宋体" w:hAnsi="宋体" w:cs="宋体"/>
          <w:sz w:val="24"/>
          <w:szCs w:val="24"/>
        </w:rPr>
      </w:pPr>
      <w:r>
        <w:rPr>
          <w:rFonts w:ascii="宋体" w:hAnsi="宋体" w:cs="宋体"/>
          <w:sz w:val="24"/>
          <w:szCs w:val="24"/>
        </w:rPr>
        <w:t>5)</w:t>
      </w:r>
      <w:r>
        <w:rPr>
          <w:rFonts w:ascii="宋体" w:hAnsi="宋体" w:cs="宋体"/>
          <w:sz w:val="24"/>
          <w:szCs w:val="24"/>
        </w:rPr>
        <w:tab/>
      </w:r>
      <w:r>
        <w:rPr>
          <w:rFonts w:hint="eastAsia" w:ascii="宋体" w:hAnsi="宋体" w:cs="宋体"/>
          <w:sz w:val="24"/>
          <w:szCs w:val="24"/>
        </w:rPr>
        <w:t>数据库的备份和恢复管理 将招标投标外网门户数据进行备份到其它存储介质中的功能，在需要时可以</w:t>
      </w:r>
    </w:p>
    <w:p>
      <w:pPr>
        <w:pStyle w:val="8"/>
        <w:kinsoku w:val="0"/>
        <w:overflowPunct w:val="0"/>
        <w:spacing w:line="274" w:lineRule="auto"/>
        <w:ind w:left="600" w:right="853" w:firstLine="0"/>
        <w:jc w:val="both"/>
        <w:rPr>
          <w:rFonts w:ascii="宋体" w:hAnsi="宋体" w:cs="宋体"/>
          <w:sz w:val="24"/>
          <w:szCs w:val="24"/>
        </w:rPr>
      </w:pPr>
      <w:r>
        <w:rPr>
          <w:rFonts w:hint="eastAsia" w:ascii="宋体" w:hAnsi="宋体" w:cs="宋体"/>
          <w:sz w:val="24"/>
          <w:szCs w:val="24"/>
        </w:rPr>
        <w:t>恢复，并可以实现历史数据的转储功能。 系统提供每日备份功能。提供增量备份和完全备份等不同的备份方式。</w:t>
      </w:r>
    </w:p>
    <w:p>
      <w:pPr>
        <w:pStyle w:val="8"/>
        <w:kinsoku w:val="0"/>
        <w:overflowPunct w:val="0"/>
        <w:spacing w:line="274" w:lineRule="auto"/>
        <w:ind w:left="600" w:right="853" w:firstLine="0"/>
        <w:jc w:val="both"/>
        <w:rPr>
          <w:rFonts w:ascii="宋体" w:hAnsi="宋体" w:cs="宋体"/>
          <w:sz w:val="24"/>
          <w:szCs w:val="24"/>
        </w:rPr>
      </w:pPr>
      <w:r>
        <w:rPr>
          <w:rFonts w:ascii="宋体" w:hAnsi="宋体" w:cs="宋体"/>
          <w:sz w:val="24"/>
          <w:szCs w:val="24"/>
        </w:rPr>
        <w:t>6)</w:t>
      </w:r>
      <w:r>
        <w:rPr>
          <w:rFonts w:ascii="宋体" w:hAnsi="宋体" w:cs="宋体"/>
          <w:sz w:val="24"/>
          <w:szCs w:val="24"/>
        </w:rPr>
        <w:tab/>
      </w:r>
      <w:r>
        <w:rPr>
          <w:rFonts w:hint="eastAsia" w:ascii="宋体" w:hAnsi="宋体" w:cs="宋体"/>
          <w:sz w:val="24"/>
          <w:szCs w:val="24"/>
        </w:rPr>
        <w:t>系统参数配置 可以配置系统的各种参数，如各种系统参数、业务受理时间等。</w:t>
      </w:r>
    </w:p>
    <w:p>
      <w:pPr>
        <w:kinsoku w:val="0"/>
        <w:overflowPunct w:val="0"/>
        <w:spacing w:before="8" w:line="280" w:lineRule="exact"/>
        <w:rPr>
          <w:sz w:val="28"/>
        </w:rPr>
      </w:pPr>
    </w:p>
    <w:p>
      <w:pPr>
        <w:pStyle w:val="26"/>
        <w:kinsoku w:val="0"/>
        <w:overflowPunct w:val="0"/>
        <w:spacing w:line="439" w:lineRule="exact"/>
        <w:rPr>
          <w:rFonts w:hint="default"/>
          <w:sz w:val="15"/>
        </w:rPr>
      </w:pPr>
      <w:r>
        <w:rPr>
          <w:rFonts w:hint="default" w:ascii="Cambria" w:hAnsi="Cambria" w:eastAsia="Cambria"/>
          <w:spacing w:val="-1"/>
        </w:rPr>
        <w:t>3</w:t>
      </w:r>
      <w:r>
        <w:rPr>
          <w:rFonts w:hint="default" w:ascii="Cambria" w:hAnsi="Cambria" w:eastAsia="Cambria"/>
        </w:rPr>
        <w:t>.</w:t>
      </w:r>
      <w:r>
        <w:rPr>
          <w:rFonts w:hint="default" w:ascii="Cambria" w:hAnsi="Cambria" w:eastAsia="Cambria"/>
          <w:spacing w:val="-1"/>
        </w:rPr>
        <w:t>2</w:t>
      </w:r>
      <w:r>
        <w:rPr>
          <w:rFonts w:hint="default" w:ascii="Cambria" w:hAnsi="Cambria" w:eastAsia="Cambria"/>
        </w:rPr>
        <w:t>.</w:t>
      </w:r>
      <w:r>
        <w:rPr>
          <w:rFonts w:hint="default" w:ascii="Cambria" w:hAnsi="Cambria" w:eastAsia="Cambria"/>
          <w:spacing w:val="29"/>
        </w:rPr>
        <w:t xml:space="preserve"> </w:t>
      </w:r>
      <w:r>
        <w:rPr>
          <w:spacing w:val="2"/>
        </w:rPr>
        <w:t>招</w:t>
      </w:r>
      <w:r>
        <w:t>标</w:t>
      </w:r>
      <w:r>
        <w:rPr>
          <w:spacing w:val="2"/>
        </w:rPr>
        <w:t>投</w:t>
      </w:r>
      <w:r>
        <w:t>标</w:t>
      </w:r>
      <w:r>
        <w:rPr>
          <w:spacing w:val="2"/>
        </w:rPr>
        <w:t>业</w:t>
      </w:r>
      <w:r>
        <w:t>务</w:t>
      </w:r>
      <w:r>
        <w:rPr>
          <w:spacing w:val="2"/>
        </w:rPr>
        <w:t>系</w:t>
      </w:r>
      <w:r>
        <w:t>统</w:t>
      </w:r>
    </w:p>
    <w:p>
      <w:pPr>
        <w:kinsoku w:val="0"/>
        <w:overflowPunct w:val="0"/>
        <w:spacing w:line="200" w:lineRule="exact"/>
        <w:rPr>
          <w:sz w:val="20"/>
        </w:rPr>
      </w:pPr>
    </w:p>
    <w:p>
      <w:pPr>
        <w:pStyle w:val="8"/>
        <w:kinsoku w:val="0"/>
        <w:overflowPunct w:val="0"/>
        <w:spacing w:line="274" w:lineRule="auto"/>
        <w:ind w:left="600" w:right="853" w:firstLine="0"/>
        <w:jc w:val="both"/>
        <w:rPr>
          <w:rFonts w:ascii="宋体" w:hAnsi="宋体" w:cs="宋体"/>
          <w:sz w:val="24"/>
          <w:szCs w:val="24"/>
        </w:rPr>
      </w:pPr>
      <w:r>
        <w:rPr>
          <w:rFonts w:hint="eastAsia" w:ascii="宋体" w:hAnsi="宋体" w:cs="宋体"/>
          <w:sz w:val="24"/>
          <w:szCs w:val="24"/>
        </w:rPr>
        <w:t>招标投标业务系统，是公共资源交易中心通过网站发布竞价采购消息，接受 入网会员单位报价，网上定标，网上公布采购结果的在线交易系统。公共资源交 易中心受理招标人的采购交易计划，在拟定采购交易方案时，认为可以通过招标 投标业务系统进行采购的，则通过招标投标业务系统进入采购交易流程。</w:t>
      </w:r>
    </w:p>
    <w:p>
      <w:pPr>
        <w:pStyle w:val="8"/>
        <w:kinsoku w:val="0"/>
        <w:overflowPunct w:val="0"/>
        <w:spacing w:line="274" w:lineRule="auto"/>
        <w:ind w:left="600" w:right="853" w:firstLine="0"/>
        <w:jc w:val="both"/>
        <w:rPr>
          <w:rFonts w:ascii="宋体" w:hAnsi="宋体" w:cs="宋体"/>
          <w:sz w:val="24"/>
          <w:szCs w:val="24"/>
        </w:rPr>
      </w:pPr>
      <w:r>
        <w:rPr>
          <w:rFonts w:hint="eastAsia" w:ascii="宋体" w:hAnsi="宋体" w:cs="宋体"/>
          <w:sz w:val="24"/>
          <w:szCs w:val="24"/>
        </w:rPr>
        <w:t>招标投标业务系统适合采购所有资金小于一定限额的公共资源交易，包括政 府采购，药械采购，工程交易，土地、矿产权和国有资产交易项目。</w:t>
      </w:r>
    </w:p>
    <w:p>
      <w:pPr>
        <w:kinsoku w:val="0"/>
        <w:overflowPunct w:val="0"/>
        <w:spacing w:before="6" w:line="280" w:lineRule="exact"/>
        <w:ind w:left="0" w:firstLine="0"/>
        <w:rPr>
          <w:sz w:val="28"/>
        </w:rPr>
      </w:pPr>
    </w:p>
    <w:p>
      <w:pPr>
        <w:pStyle w:val="26"/>
        <w:kinsoku w:val="0"/>
        <w:overflowPunct w:val="0"/>
        <w:rPr>
          <w:rFonts w:hint="default"/>
          <w:sz w:val="15"/>
        </w:rPr>
      </w:pPr>
      <w:r>
        <w:rPr>
          <w:rFonts w:hint="default" w:ascii="Cambria" w:hAnsi="Cambria" w:eastAsia="Cambria"/>
          <w:spacing w:val="-1"/>
        </w:rPr>
        <w:t>3</w:t>
      </w:r>
      <w:r>
        <w:rPr>
          <w:rFonts w:hint="default" w:ascii="Cambria" w:hAnsi="Cambria" w:eastAsia="Cambria"/>
        </w:rPr>
        <w:t>.</w:t>
      </w:r>
      <w:r>
        <w:rPr>
          <w:rFonts w:hint="default" w:ascii="Cambria" w:hAnsi="Cambria" w:eastAsia="Cambria"/>
          <w:spacing w:val="-1"/>
        </w:rPr>
        <w:t>3</w:t>
      </w:r>
      <w:r>
        <w:rPr>
          <w:rFonts w:hint="default" w:ascii="Cambria" w:hAnsi="Cambria" w:eastAsia="Cambria"/>
        </w:rPr>
        <w:t>.</w:t>
      </w:r>
      <w:r>
        <w:rPr>
          <w:rFonts w:hint="default" w:ascii="Cambria" w:hAnsi="Cambria" w:eastAsia="Cambria"/>
          <w:spacing w:val="35"/>
        </w:rPr>
        <w:t xml:space="preserve"> </w:t>
      </w:r>
      <w:r>
        <w:rPr>
          <w:spacing w:val="2"/>
        </w:rPr>
        <w:t>综</w:t>
      </w:r>
      <w:r>
        <w:t>合</w:t>
      </w:r>
      <w:r>
        <w:rPr>
          <w:spacing w:val="2"/>
        </w:rPr>
        <w:t>管</w:t>
      </w:r>
      <w:r>
        <w:t>理</w:t>
      </w:r>
      <w:r>
        <w:rPr>
          <w:spacing w:val="2"/>
        </w:rPr>
        <w:t>系</w:t>
      </w:r>
      <w:r>
        <w:t>统</w:t>
      </w:r>
    </w:p>
    <w:p>
      <w:pPr>
        <w:kinsoku w:val="0"/>
        <w:overflowPunct w:val="0"/>
        <w:spacing w:line="200" w:lineRule="exact"/>
        <w:rPr>
          <w:sz w:val="20"/>
        </w:rPr>
      </w:pPr>
    </w:p>
    <w:p>
      <w:pPr>
        <w:pStyle w:val="8"/>
        <w:kinsoku w:val="0"/>
        <w:overflowPunct w:val="0"/>
        <w:ind w:left="600"/>
        <w:rPr>
          <w:sz w:val="24"/>
        </w:rPr>
      </w:pPr>
      <w:r>
        <w:rPr>
          <w:rFonts w:hint="eastAsia"/>
          <w:sz w:val="24"/>
        </w:rPr>
        <w:t>综合三大业务系统进行统一平台管理。</w:t>
      </w:r>
    </w:p>
    <w:p>
      <w:pPr>
        <w:kinsoku w:val="0"/>
        <w:overflowPunct w:val="0"/>
        <w:spacing w:before="2" w:line="130" w:lineRule="exact"/>
        <w:rPr>
          <w:sz w:val="13"/>
        </w:rPr>
      </w:pPr>
    </w:p>
    <w:p>
      <w:pPr>
        <w:kinsoku w:val="0"/>
        <w:overflowPunct w:val="0"/>
        <w:spacing w:line="200" w:lineRule="exact"/>
        <w:rPr>
          <w:sz w:val="20"/>
        </w:rPr>
      </w:pPr>
    </w:p>
    <w:p>
      <w:pPr>
        <w:pStyle w:val="26"/>
        <w:numPr>
          <w:ilvl w:val="2"/>
          <w:numId w:val="7"/>
        </w:numPr>
        <w:tabs>
          <w:tab w:val="left" w:pos="900"/>
        </w:tabs>
        <w:kinsoku w:val="0"/>
        <w:overflowPunct w:val="0"/>
        <w:ind w:left="900"/>
        <w:rPr>
          <w:rFonts w:hint="default"/>
        </w:rPr>
      </w:pPr>
      <w:r>
        <w:rPr>
          <w:spacing w:val="2"/>
        </w:rPr>
        <w:t>会</w:t>
      </w:r>
      <w:r>
        <w:t>员</w:t>
      </w:r>
      <w:r>
        <w:rPr>
          <w:spacing w:val="2"/>
        </w:rPr>
        <w:t>管</w:t>
      </w:r>
      <w:r>
        <w:t>理</w:t>
      </w:r>
      <w:r>
        <w:rPr>
          <w:spacing w:val="2"/>
        </w:rPr>
        <w:t>系</w:t>
      </w:r>
      <w:r>
        <w:t>统</w:t>
      </w:r>
    </w:p>
    <w:p>
      <w:pPr>
        <w:pStyle w:val="8"/>
        <w:kinsoku w:val="0"/>
        <w:overflowPunct w:val="0"/>
        <w:spacing w:line="274" w:lineRule="auto"/>
        <w:ind w:right="853" w:firstLine="0"/>
        <w:jc w:val="both"/>
        <w:rPr>
          <w:rFonts w:ascii="宋体" w:hAnsi="宋体" w:cs="宋体"/>
          <w:sz w:val="24"/>
          <w:szCs w:val="24"/>
        </w:rPr>
      </w:pPr>
    </w:p>
    <w:p>
      <w:pPr>
        <w:pStyle w:val="8"/>
        <w:kinsoku w:val="0"/>
        <w:overflowPunct w:val="0"/>
        <w:spacing w:line="274" w:lineRule="auto"/>
        <w:ind w:left="600" w:right="853" w:firstLine="0"/>
        <w:jc w:val="both"/>
        <w:rPr>
          <w:rFonts w:ascii="宋体" w:hAnsi="宋体" w:cs="宋体"/>
          <w:sz w:val="24"/>
          <w:szCs w:val="24"/>
        </w:rPr>
      </w:pPr>
      <w:r>
        <w:rPr>
          <w:rFonts w:hint="eastAsia" w:ascii="宋体" w:hAnsi="宋体" w:cs="宋体"/>
          <w:sz w:val="24"/>
          <w:szCs w:val="24"/>
        </w:rPr>
        <w:t xml:space="preserve">  本模块与公共资源交易中心各类会员及其业务进行系统性管理。包括会员分 类管理、会员授权、会员信息变更、会员业绩、会员年检、不良信息记录、查询统计等功能。本模块与公共资源交易服务外网门户相关联，实现会员身份的集中化管理和 多重运用。可采用自动短信发送技术，将各类招投标信息通过短信平台快速、准 确地发送给会员。</w:t>
      </w:r>
    </w:p>
    <w:p>
      <w:pPr>
        <w:pStyle w:val="26"/>
        <w:numPr>
          <w:ilvl w:val="2"/>
          <w:numId w:val="7"/>
        </w:numPr>
        <w:tabs>
          <w:tab w:val="left" w:pos="900"/>
        </w:tabs>
        <w:kinsoku w:val="0"/>
        <w:overflowPunct w:val="0"/>
        <w:ind w:left="900"/>
        <w:rPr>
          <w:rFonts w:hint="default"/>
          <w:sz w:val="15"/>
        </w:rPr>
      </w:pPr>
      <w:r>
        <w:rPr>
          <w:spacing w:val="2"/>
        </w:rPr>
        <w:t>缴</w:t>
      </w:r>
      <w:r>
        <w:t>费</w:t>
      </w:r>
      <w:r>
        <w:rPr>
          <w:spacing w:val="2"/>
        </w:rPr>
        <w:t>管</w:t>
      </w:r>
      <w:r>
        <w:t>理</w:t>
      </w:r>
      <w:r>
        <w:rPr>
          <w:spacing w:val="2"/>
        </w:rPr>
        <w:t>系</w:t>
      </w:r>
      <w:r>
        <w:t>统</w:t>
      </w:r>
    </w:p>
    <w:p>
      <w:pPr>
        <w:kinsoku w:val="0"/>
        <w:overflowPunct w:val="0"/>
        <w:spacing w:line="200" w:lineRule="exact"/>
        <w:rPr>
          <w:sz w:val="20"/>
        </w:rPr>
      </w:pPr>
    </w:p>
    <w:p>
      <w:pPr>
        <w:pStyle w:val="8"/>
        <w:kinsoku w:val="0"/>
        <w:overflowPunct w:val="0"/>
        <w:spacing w:line="274" w:lineRule="auto"/>
        <w:ind w:left="600" w:right="853" w:firstLine="0"/>
        <w:jc w:val="both"/>
        <w:rPr>
          <w:rFonts w:ascii="宋体" w:hAnsi="宋体" w:cs="宋体"/>
          <w:sz w:val="24"/>
          <w:szCs w:val="24"/>
        </w:rPr>
      </w:pPr>
      <w:r>
        <w:rPr>
          <w:rFonts w:hint="eastAsia" w:ascii="宋体" w:hAnsi="宋体" w:cs="宋体"/>
          <w:sz w:val="24"/>
          <w:szCs w:val="24"/>
        </w:rPr>
        <w:t xml:space="preserve">   用于管理交易中心业务过程中产生的往来资金和网上支付，以达到提高工作 效率、简化交易流程和交易成本等目的。招投标各方在交易过程中产生的费用，可通过网上支付平台完成，这有利于 资格后审项目对潜在投标人的保密工作，保障了招投标各方主体的利益。</w:t>
      </w:r>
    </w:p>
    <w:p>
      <w:pPr>
        <w:pStyle w:val="8"/>
        <w:kinsoku w:val="0"/>
        <w:overflowPunct w:val="0"/>
        <w:spacing w:line="274" w:lineRule="auto"/>
        <w:ind w:left="600" w:right="853" w:firstLine="0"/>
        <w:jc w:val="both"/>
        <w:rPr>
          <w:sz w:val="20"/>
        </w:rPr>
      </w:pPr>
      <w:r>
        <w:rPr>
          <w:rFonts w:hint="eastAsia" w:ascii="宋体" w:hAnsi="宋体" w:cs="宋体"/>
          <w:sz w:val="24"/>
          <w:szCs w:val="24"/>
        </w:rPr>
        <w:t>该模块涉及管理的资金包括但不限于：招标文件工本费、交易服务费、场地 租赁费、评标专家费、投标保证金、会员费等。</w:t>
      </w:r>
    </w:p>
    <w:p>
      <w:pPr>
        <w:pStyle w:val="26"/>
        <w:numPr>
          <w:ilvl w:val="2"/>
          <w:numId w:val="7"/>
        </w:numPr>
        <w:tabs>
          <w:tab w:val="left" w:pos="900"/>
        </w:tabs>
        <w:kinsoku w:val="0"/>
        <w:overflowPunct w:val="0"/>
        <w:ind w:left="900"/>
        <w:rPr>
          <w:rFonts w:hint="default"/>
          <w:sz w:val="15"/>
        </w:rPr>
      </w:pPr>
      <w:r>
        <w:rPr>
          <w:spacing w:val="2"/>
        </w:rPr>
        <w:t>场</w:t>
      </w:r>
      <w:r>
        <w:t>地</w:t>
      </w:r>
      <w:r>
        <w:rPr>
          <w:spacing w:val="2"/>
        </w:rPr>
        <w:t>管</w:t>
      </w:r>
      <w:r>
        <w:t>理</w:t>
      </w:r>
      <w:r>
        <w:rPr>
          <w:spacing w:val="2"/>
        </w:rPr>
        <w:t>系</w:t>
      </w:r>
      <w:r>
        <w:t>统</w:t>
      </w:r>
    </w:p>
    <w:p>
      <w:pPr>
        <w:kinsoku w:val="0"/>
        <w:overflowPunct w:val="0"/>
        <w:spacing w:line="200" w:lineRule="exact"/>
        <w:rPr>
          <w:sz w:val="20"/>
        </w:rPr>
      </w:pPr>
    </w:p>
    <w:p>
      <w:pPr>
        <w:pStyle w:val="8"/>
        <w:kinsoku w:val="0"/>
        <w:overflowPunct w:val="0"/>
        <w:spacing w:line="274" w:lineRule="auto"/>
        <w:ind w:left="600" w:right="853" w:firstLine="0"/>
        <w:jc w:val="both"/>
        <w:rPr>
          <w:rFonts w:ascii="宋体" w:hAnsi="宋体" w:cs="宋体"/>
          <w:sz w:val="24"/>
          <w:szCs w:val="24"/>
        </w:rPr>
      </w:pPr>
      <w:r>
        <w:rPr>
          <w:rFonts w:hint="eastAsia" w:ascii="宋体" w:hAnsi="宋体" w:cs="宋体"/>
          <w:sz w:val="24"/>
          <w:szCs w:val="24"/>
        </w:rPr>
        <w:t xml:space="preserve">   用于对公共资源交易中心的所有开标、评标场地的自动化管理，以提高场地 利用效率，合理安排交易项目招投标时间。</w:t>
      </w:r>
    </w:p>
    <w:p>
      <w:pPr>
        <w:pStyle w:val="26"/>
        <w:tabs>
          <w:tab w:val="left" w:pos="1192"/>
        </w:tabs>
        <w:kinsoku w:val="0"/>
        <w:overflowPunct w:val="0"/>
        <w:spacing w:line="436" w:lineRule="exact"/>
        <w:ind w:left="0" w:firstLine="0"/>
        <w:rPr>
          <w:rFonts w:hint="default"/>
        </w:rPr>
      </w:pPr>
      <w:r>
        <w:rPr>
          <w:spacing w:val="2"/>
        </w:rPr>
        <w:t>3用</w:t>
      </w:r>
      <w:r>
        <w:t>户</w:t>
      </w:r>
      <w:r>
        <w:rPr>
          <w:spacing w:val="2"/>
        </w:rPr>
        <w:t>管</w:t>
      </w:r>
      <w:r>
        <w:t>理</w:t>
      </w:r>
    </w:p>
    <w:p>
      <w:pPr>
        <w:kinsoku w:val="0"/>
        <w:overflowPunct w:val="0"/>
        <w:spacing w:before="1" w:line="190" w:lineRule="exact"/>
        <w:rPr>
          <w:sz w:val="19"/>
        </w:rPr>
      </w:pPr>
    </w:p>
    <w:p>
      <w:pPr>
        <w:kinsoku w:val="0"/>
        <w:overflowPunct w:val="0"/>
        <w:spacing w:line="200" w:lineRule="exact"/>
        <w:rPr>
          <w:sz w:val="20"/>
        </w:rPr>
      </w:pPr>
    </w:p>
    <w:p>
      <w:pPr>
        <w:pStyle w:val="8"/>
        <w:kinsoku w:val="0"/>
        <w:overflowPunct w:val="0"/>
        <w:spacing w:line="274" w:lineRule="auto"/>
        <w:ind w:left="600" w:right="853" w:firstLine="0"/>
        <w:jc w:val="both"/>
        <w:rPr>
          <w:rFonts w:ascii="宋体" w:hAnsi="宋体" w:cs="宋体"/>
          <w:sz w:val="24"/>
          <w:szCs w:val="24"/>
        </w:rPr>
      </w:pPr>
      <w:r>
        <w:rPr>
          <w:rFonts w:hint="eastAsia" w:ascii="宋体" w:hAnsi="宋体" w:cs="宋体"/>
          <w:sz w:val="24"/>
          <w:szCs w:val="24"/>
        </w:rPr>
        <w:t xml:space="preserve">   可以添加用户、修改用户信息、删除用户、修改用户口令操作。可以查看用 户的权限，对用户的权限进行管理</w:t>
      </w:r>
    </w:p>
    <w:p>
      <w:pPr>
        <w:pStyle w:val="8"/>
        <w:kinsoku w:val="0"/>
        <w:overflowPunct w:val="0"/>
        <w:spacing w:line="274" w:lineRule="auto"/>
        <w:ind w:left="600" w:right="853" w:firstLine="0"/>
        <w:jc w:val="both"/>
        <w:rPr>
          <w:sz w:val="10"/>
        </w:rPr>
      </w:pPr>
      <w:r>
        <w:rPr>
          <w:rFonts w:hint="eastAsia" w:ascii="宋体" w:hAnsi="宋体" w:cs="宋体"/>
          <w:sz w:val="24"/>
          <w:szCs w:val="24"/>
        </w:rPr>
        <w:t xml:space="preserve">   用户包括各级领导交易中心工作人员、招标人、投标人、中介机构、专家监 察人员等</w:t>
      </w:r>
      <w:r>
        <w:rPr>
          <w:rFonts w:ascii="宋体" w:hAnsi="宋体" w:cs="宋体"/>
          <w:sz w:val="24"/>
          <w:szCs w:val="24"/>
        </w:rPr>
        <w:t>,</w:t>
      </w:r>
      <w:r>
        <w:rPr>
          <w:rFonts w:hint="eastAsia" w:ascii="宋体" w:hAnsi="宋体" w:cs="宋体"/>
          <w:sz w:val="24"/>
          <w:szCs w:val="24"/>
        </w:rPr>
        <w:t>这些用户的建立由公共资源交易中心负责。机构用户（包括招标人、 投标人、中介机构、交易中心等）的管理员可以创建本机构的内部用户。</w:t>
      </w:r>
    </w:p>
    <w:p>
      <w:pPr>
        <w:kinsoku w:val="0"/>
        <w:overflowPunct w:val="0"/>
        <w:spacing w:line="200" w:lineRule="exact"/>
        <w:rPr>
          <w:sz w:val="20"/>
        </w:rPr>
      </w:pPr>
    </w:p>
    <w:p>
      <w:pPr>
        <w:pStyle w:val="26"/>
        <w:numPr>
          <w:ilvl w:val="3"/>
          <w:numId w:val="8"/>
        </w:numPr>
        <w:tabs>
          <w:tab w:val="left" w:pos="1192"/>
        </w:tabs>
        <w:kinsoku w:val="0"/>
        <w:overflowPunct w:val="0"/>
        <w:ind w:left="1192"/>
        <w:rPr>
          <w:rFonts w:hint="default"/>
        </w:rPr>
      </w:pPr>
      <w:r>
        <w:rPr>
          <w:spacing w:val="2"/>
        </w:rPr>
        <w:t>权</w:t>
      </w:r>
      <w:r>
        <w:t>限</w:t>
      </w:r>
      <w:r>
        <w:rPr>
          <w:spacing w:val="2"/>
        </w:rPr>
        <w:t>管</w:t>
      </w:r>
      <w:r>
        <w:t>理</w:t>
      </w:r>
    </w:p>
    <w:p>
      <w:pPr>
        <w:kinsoku w:val="0"/>
        <w:overflowPunct w:val="0"/>
        <w:spacing w:before="8" w:line="180" w:lineRule="exact"/>
        <w:rPr>
          <w:sz w:val="18"/>
        </w:rPr>
      </w:pPr>
    </w:p>
    <w:p>
      <w:pPr>
        <w:pStyle w:val="8"/>
        <w:kinsoku w:val="0"/>
        <w:overflowPunct w:val="0"/>
        <w:spacing w:line="274" w:lineRule="auto"/>
        <w:ind w:left="600" w:right="853" w:firstLine="0"/>
        <w:jc w:val="both"/>
        <w:rPr>
          <w:rFonts w:ascii="宋体" w:hAnsi="宋体" w:cs="宋体"/>
          <w:sz w:val="24"/>
          <w:szCs w:val="24"/>
        </w:rPr>
      </w:pPr>
    </w:p>
    <w:p>
      <w:pPr>
        <w:pStyle w:val="8"/>
        <w:kinsoku w:val="0"/>
        <w:overflowPunct w:val="0"/>
        <w:spacing w:line="274" w:lineRule="auto"/>
        <w:ind w:left="600" w:right="853" w:firstLine="0"/>
        <w:jc w:val="both"/>
        <w:rPr>
          <w:rFonts w:ascii="宋体" w:hAnsi="宋体" w:cs="宋体"/>
          <w:sz w:val="24"/>
          <w:szCs w:val="24"/>
        </w:rPr>
      </w:pPr>
      <w:r>
        <w:rPr>
          <w:rFonts w:hint="eastAsia" w:ascii="宋体" w:hAnsi="宋体" w:cs="宋体"/>
          <w:sz w:val="24"/>
          <w:szCs w:val="24"/>
        </w:rPr>
        <w:t xml:space="preserve">   权限管理王要包括功能权限设置、访问内容权限设置等万面内容，采用用户 目录树的编辑和设置来实现权限管理。与招标投标外网门户一样，实现角色权限 管理。角色权限是系统管理员授予角色对于系统的功能模块进行业务处理、业务 查询的权限，角色权限主要根据交易主体类型或业务类型进行划分，系统对于某 个角色进行授权后，属于这个角色的所有用户也具有该角色的所有权限。机构用 户的管理员可以设置本机构的内部用户权限。</w:t>
      </w:r>
    </w:p>
    <w:p>
      <w:pPr>
        <w:kinsoku w:val="0"/>
        <w:overflowPunct w:val="0"/>
        <w:spacing w:before="6" w:line="100" w:lineRule="exact"/>
        <w:rPr>
          <w:sz w:val="10"/>
        </w:rPr>
      </w:pPr>
    </w:p>
    <w:p>
      <w:pPr>
        <w:kinsoku w:val="0"/>
        <w:overflowPunct w:val="0"/>
        <w:spacing w:line="200" w:lineRule="exact"/>
        <w:rPr>
          <w:sz w:val="20"/>
        </w:rPr>
      </w:pPr>
    </w:p>
    <w:p>
      <w:pPr>
        <w:pStyle w:val="26"/>
        <w:numPr>
          <w:ilvl w:val="3"/>
          <w:numId w:val="8"/>
        </w:numPr>
        <w:tabs>
          <w:tab w:val="left" w:pos="1192"/>
        </w:tabs>
        <w:kinsoku w:val="0"/>
        <w:overflowPunct w:val="0"/>
        <w:ind w:left="1192"/>
        <w:rPr>
          <w:rFonts w:hint="default"/>
        </w:rPr>
      </w:pPr>
      <w:r>
        <w:rPr>
          <w:spacing w:val="2"/>
        </w:rPr>
        <w:t>数</w:t>
      </w:r>
      <w:r>
        <w:t>据</w:t>
      </w:r>
      <w:r>
        <w:rPr>
          <w:spacing w:val="2"/>
        </w:rPr>
        <w:t>维</w:t>
      </w:r>
      <w:r>
        <w:t>护、</w:t>
      </w:r>
      <w:r>
        <w:rPr>
          <w:spacing w:val="2"/>
        </w:rPr>
        <w:t>日</w:t>
      </w:r>
      <w:r>
        <w:t>志</w:t>
      </w:r>
      <w:r>
        <w:rPr>
          <w:spacing w:val="2"/>
        </w:rPr>
        <w:t>管</w:t>
      </w:r>
      <w:r>
        <w:t>理</w:t>
      </w:r>
    </w:p>
    <w:p>
      <w:pPr>
        <w:kinsoku w:val="0"/>
        <w:overflowPunct w:val="0"/>
        <w:spacing w:before="1" w:line="190" w:lineRule="exact"/>
        <w:rPr>
          <w:sz w:val="19"/>
        </w:rPr>
      </w:pPr>
    </w:p>
    <w:p>
      <w:pPr>
        <w:kinsoku w:val="0"/>
        <w:overflowPunct w:val="0"/>
        <w:spacing w:line="200" w:lineRule="exact"/>
        <w:rPr>
          <w:rFonts w:ascii="宋体" w:hAnsi="宋体" w:cs="宋体"/>
          <w:sz w:val="24"/>
          <w:szCs w:val="24"/>
        </w:rPr>
      </w:pPr>
    </w:p>
    <w:p>
      <w:pPr>
        <w:pStyle w:val="8"/>
        <w:kinsoku w:val="0"/>
        <w:overflowPunct w:val="0"/>
        <w:spacing w:line="274" w:lineRule="auto"/>
        <w:ind w:left="120" w:right="100" w:firstLine="480"/>
        <w:jc w:val="both"/>
        <w:rPr>
          <w:rFonts w:ascii="宋体" w:hAnsi="宋体" w:cs="宋体"/>
          <w:sz w:val="24"/>
          <w:szCs w:val="24"/>
        </w:rPr>
      </w:pPr>
      <w:r>
        <w:rPr>
          <w:rFonts w:hint="eastAsia" w:ascii="宋体" w:hAnsi="宋体" w:cs="宋体"/>
          <w:sz w:val="24"/>
          <w:szCs w:val="24"/>
        </w:rPr>
        <w:t>数据维护是赋予系统管理员的一种特殊权限，管理员在特定的情况下，可以 对数据库进行维护操作，这种操作是有严格限制的，包括制订数据备份计划、数 据结构的修改、数据内容的直接修订等，但必须留下修改日志，便于监督追踪。</w:t>
      </w:r>
    </w:p>
    <w:p>
      <w:pPr>
        <w:pStyle w:val="26"/>
        <w:tabs>
          <w:tab w:val="left" w:pos="1192"/>
        </w:tabs>
        <w:kinsoku w:val="0"/>
        <w:overflowPunct w:val="0"/>
        <w:spacing w:line="436" w:lineRule="exact"/>
        <w:ind w:left="0" w:firstLine="0"/>
        <w:rPr>
          <w:rFonts w:hint="default" w:ascii="宋体" w:hAnsi="宋体" w:eastAsia="宋体" w:cs="宋体"/>
          <w:sz w:val="24"/>
          <w:szCs w:val="24"/>
        </w:rPr>
      </w:pPr>
      <w:r>
        <w:rPr>
          <w:rFonts w:ascii="宋体" w:hAnsi="宋体" w:eastAsia="宋体" w:cs="宋体"/>
          <w:sz w:val="24"/>
          <w:szCs w:val="24"/>
        </w:rPr>
        <w:t xml:space="preserve">      包括新增操作日志、修改操作日志、删除操作日志、交易操作日志、查询操 作日志、传输操作日志等。所有的操作均需由系统自动在日志中记录，生成的日 志不可修改，授权用户可以查看系统日志，并可以对日志进行统计和分析研究。</w:t>
      </w:r>
    </w:p>
    <w:p>
      <w:pPr>
        <w:kinsoku w:val="0"/>
        <w:overflowPunct w:val="0"/>
        <w:spacing w:before="6" w:line="100" w:lineRule="exact"/>
        <w:rPr>
          <w:sz w:val="10"/>
        </w:rPr>
      </w:pPr>
    </w:p>
    <w:p>
      <w:pPr>
        <w:kinsoku w:val="0"/>
        <w:overflowPunct w:val="0"/>
        <w:spacing w:line="200" w:lineRule="exact"/>
        <w:rPr>
          <w:sz w:val="20"/>
        </w:rPr>
      </w:pPr>
    </w:p>
    <w:p>
      <w:pPr>
        <w:pStyle w:val="26"/>
        <w:numPr>
          <w:ilvl w:val="3"/>
          <w:numId w:val="8"/>
        </w:numPr>
        <w:tabs>
          <w:tab w:val="left" w:pos="1192"/>
        </w:tabs>
        <w:kinsoku w:val="0"/>
        <w:overflowPunct w:val="0"/>
        <w:ind w:left="1192"/>
        <w:rPr>
          <w:rFonts w:hint="default"/>
        </w:rPr>
      </w:pPr>
      <w:r>
        <w:rPr>
          <w:spacing w:val="2"/>
        </w:rPr>
        <w:t>归</w:t>
      </w:r>
      <w:r>
        <w:t>档</w:t>
      </w:r>
      <w:r>
        <w:rPr>
          <w:spacing w:val="2"/>
        </w:rPr>
        <w:t>管</w:t>
      </w:r>
      <w:r>
        <w:t>理</w:t>
      </w:r>
    </w:p>
    <w:p>
      <w:pPr>
        <w:pStyle w:val="8"/>
        <w:kinsoku w:val="0"/>
        <w:overflowPunct w:val="0"/>
        <w:spacing w:line="274" w:lineRule="auto"/>
        <w:ind w:right="100" w:firstLine="0"/>
        <w:jc w:val="both"/>
        <w:rPr>
          <w:rFonts w:ascii="宋体" w:hAnsi="宋体" w:cs="宋体"/>
          <w:sz w:val="24"/>
          <w:szCs w:val="24"/>
        </w:rPr>
      </w:pPr>
    </w:p>
    <w:p>
      <w:pPr>
        <w:pStyle w:val="8"/>
        <w:kinsoku w:val="0"/>
        <w:overflowPunct w:val="0"/>
        <w:spacing w:line="274" w:lineRule="auto"/>
        <w:ind w:left="120" w:right="100" w:firstLine="480"/>
        <w:jc w:val="both"/>
        <w:rPr>
          <w:rFonts w:ascii="宋体" w:hAnsi="宋体" w:cs="宋体"/>
          <w:sz w:val="24"/>
          <w:szCs w:val="24"/>
        </w:rPr>
      </w:pPr>
      <w:r>
        <w:rPr>
          <w:rFonts w:hint="eastAsia" w:ascii="宋体" w:hAnsi="宋体" w:cs="宋体"/>
          <w:sz w:val="24"/>
          <w:szCs w:val="24"/>
        </w:rPr>
        <w:t>将已经结束的交易流程进行统一归档处理，保存基本信息和交易过程中产生 的各种附件索引信息。</w:t>
      </w:r>
    </w:p>
    <w:p>
      <w:pPr>
        <w:pStyle w:val="8"/>
        <w:kinsoku w:val="0"/>
        <w:overflowPunct w:val="0"/>
        <w:spacing w:line="274" w:lineRule="auto"/>
        <w:ind w:left="120" w:right="100" w:firstLine="480"/>
        <w:jc w:val="both"/>
        <w:rPr>
          <w:rFonts w:ascii="宋体" w:hAnsi="宋体" w:cs="宋体"/>
          <w:sz w:val="24"/>
          <w:szCs w:val="24"/>
        </w:rPr>
      </w:pPr>
      <w:r>
        <w:rPr>
          <w:rFonts w:hint="eastAsia" w:ascii="宋体" w:hAnsi="宋体" w:cs="宋体"/>
          <w:sz w:val="24"/>
          <w:szCs w:val="24"/>
        </w:rPr>
        <w:t>统一归档根据交易类型及事项进行档案保存，将交易数据全部（或选择性） 打包，以备详细监察。由于这些信息的格式千差万别，需要按照一种通用的标准 格式进行存储。系统将采用版式文件技术进行交易数据归档。版式文件是一种文 件格式，可以保证电子公文在交换、办理等过程中不被篡改，保持严肃性。</w:t>
      </w:r>
    </w:p>
    <w:p>
      <w:pPr>
        <w:pStyle w:val="26"/>
        <w:kinsoku w:val="0"/>
        <w:overflowPunct w:val="0"/>
        <w:rPr>
          <w:rFonts w:hint="default"/>
        </w:rPr>
      </w:pPr>
      <w:r>
        <w:rPr>
          <w:rFonts w:hint="default" w:ascii="Calibri" w:hAnsi="Calibri" w:eastAsia="Calibri"/>
          <w:spacing w:val="-1"/>
        </w:rPr>
        <w:t>3.3</w:t>
      </w:r>
      <w:r>
        <w:rPr>
          <w:rFonts w:hint="default" w:ascii="Calibri" w:hAnsi="Calibri" w:eastAsia="Calibri"/>
        </w:rPr>
        <w:t>.</w:t>
      </w:r>
      <w:r>
        <w:rPr>
          <w:rFonts w:hint="default" w:ascii="Calibri" w:hAnsi="Calibri" w:eastAsia="Calibri"/>
          <w:spacing w:val="-1"/>
        </w:rPr>
        <w:t>7</w:t>
      </w:r>
      <w:r>
        <w:rPr>
          <w:rFonts w:hint="default" w:ascii="Calibri" w:hAnsi="Calibri" w:eastAsia="Calibri"/>
        </w:rPr>
        <w:t>.</w:t>
      </w:r>
      <w:r>
        <w:rPr>
          <w:rFonts w:hint="default" w:ascii="Calibri" w:hAnsi="Calibri" w:eastAsia="Calibri"/>
          <w:spacing w:val="12"/>
        </w:rPr>
        <w:t xml:space="preserve"> </w:t>
      </w:r>
      <w:r>
        <w:rPr>
          <w:spacing w:val="2"/>
        </w:rPr>
        <w:t>定</w:t>
      </w:r>
      <w:r>
        <w:t>制</w:t>
      </w:r>
      <w:r>
        <w:rPr>
          <w:spacing w:val="2"/>
        </w:rPr>
        <w:t>设</w:t>
      </w:r>
      <w:r>
        <w:t>置</w:t>
      </w:r>
    </w:p>
    <w:p>
      <w:pPr>
        <w:kinsoku w:val="0"/>
        <w:overflowPunct w:val="0"/>
        <w:spacing w:before="7" w:line="150" w:lineRule="exact"/>
        <w:rPr>
          <w:sz w:val="15"/>
        </w:rPr>
      </w:pPr>
    </w:p>
    <w:p>
      <w:pPr>
        <w:kinsoku w:val="0"/>
        <w:overflowPunct w:val="0"/>
        <w:spacing w:line="200" w:lineRule="exact"/>
        <w:rPr>
          <w:sz w:val="20"/>
        </w:rPr>
      </w:pPr>
    </w:p>
    <w:p>
      <w:pPr>
        <w:pStyle w:val="8"/>
        <w:kinsoku w:val="0"/>
        <w:overflowPunct w:val="0"/>
        <w:ind w:left="600"/>
        <w:rPr>
          <w:sz w:val="24"/>
        </w:rPr>
      </w:pPr>
      <w:r>
        <w:rPr>
          <w:rFonts w:hint="eastAsia"/>
          <w:sz w:val="24"/>
        </w:rPr>
        <w:t>对系统参数进行设置，包括统一权限配置、统一信息发布配置等。</w:t>
      </w:r>
    </w:p>
    <w:p>
      <w:pPr>
        <w:pStyle w:val="26"/>
        <w:kinsoku w:val="0"/>
        <w:overflowPunct w:val="0"/>
        <w:spacing w:line="441" w:lineRule="exact"/>
        <w:ind w:left="0"/>
        <w:rPr>
          <w:rFonts w:hint="default"/>
        </w:rPr>
      </w:pPr>
      <w:r>
        <w:rPr>
          <w:rFonts w:hint="default" w:ascii="Calibri" w:hAnsi="Calibri" w:eastAsia="Calibri"/>
          <w:spacing w:val="-1"/>
        </w:rPr>
        <w:t>3.3</w:t>
      </w:r>
      <w:r>
        <w:rPr>
          <w:rFonts w:hint="default" w:ascii="Calibri" w:hAnsi="Calibri" w:eastAsia="Calibri"/>
        </w:rPr>
        <w:t>.</w:t>
      </w:r>
      <w:r>
        <w:rPr>
          <w:rFonts w:hint="default" w:ascii="Calibri" w:hAnsi="Calibri" w:eastAsia="Calibri"/>
          <w:spacing w:val="-1"/>
        </w:rPr>
        <w:t>8</w:t>
      </w:r>
      <w:r>
        <w:rPr>
          <w:rFonts w:hint="default" w:ascii="Calibri" w:hAnsi="Calibri" w:eastAsia="Calibri"/>
        </w:rPr>
        <w:t xml:space="preserve">. </w:t>
      </w:r>
      <w:r>
        <w:rPr>
          <w:spacing w:val="2"/>
        </w:rPr>
        <w:t>报</w:t>
      </w:r>
      <w:r>
        <w:t>表</w:t>
      </w:r>
      <w:r>
        <w:rPr>
          <w:spacing w:val="2"/>
        </w:rPr>
        <w:t>自</w:t>
      </w:r>
      <w:r>
        <w:t>动</w:t>
      </w:r>
      <w:r>
        <w:rPr>
          <w:spacing w:val="2"/>
        </w:rPr>
        <w:t>生</w:t>
      </w:r>
      <w:r>
        <w:t>成</w:t>
      </w:r>
      <w:r>
        <w:rPr>
          <w:spacing w:val="2"/>
        </w:rPr>
        <w:t>系</w:t>
      </w:r>
      <w:r>
        <w:t>统</w:t>
      </w:r>
    </w:p>
    <w:p>
      <w:pPr>
        <w:kinsoku w:val="0"/>
        <w:overflowPunct w:val="0"/>
        <w:spacing w:before="5" w:line="150" w:lineRule="exact"/>
        <w:rPr>
          <w:sz w:val="15"/>
        </w:rPr>
      </w:pPr>
    </w:p>
    <w:p>
      <w:pPr>
        <w:pStyle w:val="8"/>
        <w:kinsoku w:val="0"/>
        <w:overflowPunct w:val="0"/>
        <w:spacing w:line="274" w:lineRule="auto"/>
        <w:ind w:left="120" w:right="100" w:firstLine="480"/>
        <w:jc w:val="both"/>
        <w:rPr>
          <w:rFonts w:ascii="宋体" w:hAnsi="宋体" w:cs="宋体"/>
          <w:sz w:val="24"/>
          <w:szCs w:val="24"/>
        </w:rPr>
      </w:pPr>
    </w:p>
    <w:p>
      <w:pPr>
        <w:pStyle w:val="8"/>
        <w:kinsoku w:val="0"/>
        <w:overflowPunct w:val="0"/>
        <w:spacing w:line="274" w:lineRule="auto"/>
        <w:ind w:left="120" w:right="100" w:firstLine="480"/>
        <w:jc w:val="both"/>
        <w:rPr>
          <w:rFonts w:ascii="宋体" w:hAnsi="宋体" w:cs="宋体"/>
          <w:sz w:val="24"/>
          <w:szCs w:val="24"/>
        </w:rPr>
      </w:pPr>
      <w:r>
        <w:rPr>
          <w:rFonts w:hint="eastAsia" w:ascii="宋体" w:hAnsi="宋体" w:cs="宋体"/>
          <w:sz w:val="24"/>
          <w:szCs w:val="24"/>
        </w:rPr>
        <w:t xml:space="preserve">在整个采购交易流程中，需要根据具体业务需要生成大量报表并打印输出、 签字、盖章和保存。对于报表的抬头、字体、格式、美观性等都有具体的要求。 因此，在一体化服务平台中，报表自动生成系统是一个报表可视化集成设计工具， 提供客户自定义报表功能，用户可方便简洁的创建报表。可以用各种各样的格式 发布和导出，包括 </w:t>
      </w:r>
      <w:r>
        <w:rPr>
          <w:rFonts w:ascii="宋体" w:hAnsi="宋体" w:cs="宋体"/>
          <w:sz w:val="24"/>
          <w:szCs w:val="24"/>
        </w:rPr>
        <w:t>PDF</w:t>
      </w:r>
      <w:r>
        <w:rPr>
          <w:rFonts w:hint="eastAsia" w:ascii="宋体" w:hAnsi="宋体" w:cs="宋体"/>
          <w:sz w:val="24"/>
          <w:szCs w:val="24"/>
        </w:rPr>
        <w:t>，</w:t>
      </w:r>
      <w:r>
        <w:rPr>
          <w:rFonts w:ascii="宋体" w:hAnsi="宋体" w:cs="宋体"/>
          <w:sz w:val="24"/>
          <w:szCs w:val="24"/>
        </w:rPr>
        <w:t>Html</w:t>
      </w:r>
      <w:r>
        <w:rPr>
          <w:rFonts w:hint="eastAsia" w:ascii="宋体" w:hAnsi="宋体" w:cs="宋体"/>
          <w:sz w:val="24"/>
          <w:szCs w:val="24"/>
        </w:rPr>
        <w:t>，</w:t>
      </w:r>
      <w:r>
        <w:rPr>
          <w:rFonts w:ascii="宋体" w:hAnsi="宋体" w:cs="宋体"/>
          <w:sz w:val="24"/>
          <w:szCs w:val="24"/>
        </w:rPr>
        <w:t>Word</w:t>
      </w:r>
      <w:r>
        <w:rPr>
          <w:rFonts w:hint="eastAsia" w:ascii="宋体" w:hAnsi="宋体" w:cs="宋体"/>
          <w:sz w:val="24"/>
          <w:szCs w:val="24"/>
        </w:rPr>
        <w:t>，</w:t>
      </w:r>
      <w:r>
        <w:rPr>
          <w:rFonts w:ascii="宋体" w:hAnsi="宋体" w:cs="宋体"/>
          <w:sz w:val="24"/>
          <w:szCs w:val="24"/>
        </w:rPr>
        <w:t xml:space="preserve">Excel </w:t>
      </w:r>
      <w:r>
        <w:rPr>
          <w:rFonts w:hint="eastAsia" w:ascii="宋体" w:hAnsi="宋体" w:cs="宋体"/>
          <w:sz w:val="24"/>
          <w:szCs w:val="24"/>
        </w:rPr>
        <w:t>等等。</w:t>
      </w:r>
    </w:p>
    <w:p>
      <w:pPr>
        <w:kinsoku w:val="0"/>
        <w:overflowPunct w:val="0"/>
        <w:spacing w:before="5" w:line="280" w:lineRule="exact"/>
        <w:rPr>
          <w:sz w:val="28"/>
        </w:rPr>
      </w:pPr>
    </w:p>
    <w:p>
      <w:pPr>
        <w:kinsoku w:val="0"/>
        <w:overflowPunct w:val="0"/>
        <w:spacing w:before="4" w:line="190" w:lineRule="exact"/>
        <w:rPr>
          <w:sz w:val="19"/>
        </w:rPr>
      </w:pPr>
    </w:p>
    <w:p>
      <w:pPr>
        <w:pStyle w:val="26"/>
        <w:kinsoku w:val="0"/>
        <w:overflowPunct w:val="0"/>
        <w:spacing w:line="436" w:lineRule="exact"/>
        <w:ind w:left="0" w:firstLine="0"/>
        <w:rPr>
          <w:rFonts w:hint="default"/>
        </w:rPr>
      </w:pPr>
      <w:r>
        <w:rPr>
          <w:spacing w:val="2"/>
        </w:rPr>
        <w:t>数</w:t>
      </w:r>
      <w:r>
        <w:t>据</w:t>
      </w:r>
      <w:r>
        <w:rPr>
          <w:spacing w:val="2"/>
        </w:rPr>
        <w:t>库</w:t>
      </w:r>
      <w:r>
        <w:t>建设</w:t>
      </w:r>
    </w:p>
    <w:p>
      <w:pPr>
        <w:kinsoku w:val="0"/>
        <w:overflowPunct w:val="0"/>
        <w:spacing w:before="10" w:line="150" w:lineRule="exact"/>
        <w:rPr>
          <w:sz w:val="15"/>
        </w:rPr>
      </w:pPr>
    </w:p>
    <w:p>
      <w:pPr>
        <w:pStyle w:val="8"/>
        <w:kinsoku w:val="0"/>
        <w:overflowPunct w:val="0"/>
        <w:spacing w:line="274" w:lineRule="auto"/>
        <w:ind w:left="120" w:right="100" w:firstLine="480"/>
        <w:jc w:val="both"/>
        <w:rPr>
          <w:rFonts w:ascii="宋体" w:hAnsi="宋体" w:cs="宋体"/>
          <w:sz w:val="24"/>
          <w:szCs w:val="24"/>
        </w:rPr>
      </w:pPr>
    </w:p>
    <w:p>
      <w:pPr>
        <w:pStyle w:val="8"/>
        <w:kinsoku w:val="0"/>
        <w:overflowPunct w:val="0"/>
        <w:spacing w:line="274" w:lineRule="auto"/>
        <w:ind w:left="120" w:right="100" w:firstLine="480"/>
        <w:jc w:val="both"/>
        <w:rPr>
          <w:rFonts w:ascii="宋体" w:hAnsi="宋体" w:cs="宋体"/>
          <w:sz w:val="24"/>
          <w:szCs w:val="24"/>
        </w:rPr>
      </w:pPr>
      <w:r>
        <w:rPr>
          <w:rFonts w:hint="eastAsia" w:ascii="宋体" w:hAnsi="宋体" w:cs="宋体"/>
          <w:sz w:val="24"/>
          <w:szCs w:val="24"/>
        </w:rPr>
        <w:t xml:space="preserve">公共资源交易一体化服务平台包含 </w:t>
      </w:r>
      <w:r>
        <w:rPr>
          <w:rFonts w:ascii="宋体" w:hAnsi="宋体" w:cs="宋体"/>
          <w:sz w:val="24"/>
          <w:szCs w:val="24"/>
        </w:rPr>
        <w:t xml:space="preserve">6 </w:t>
      </w:r>
      <w:r>
        <w:rPr>
          <w:rFonts w:hint="eastAsia" w:ascii="宋体" w:hAnsi="宋体" w:cs="宋体"/>
          <w:sz w:val="24"/>
          <w:szCs w:val="24"/>
        </w:rPr>
        <w:t>个基础数据库：供应商库、专家库、社 会代理机构信息库、诚信档案库、商品行情库和交易历史数据库，为所有子系统 提供基础资源服务。</w:t>
      </w:r>
    </w:p>
    <w:p>
      <w:pPr>
        <w:kinsoku w:val="0"/>
        <w:overflowPunct w:val="0"/>
        <w:spacing w:before="7" w:line="280" w:lineRule="exact"/>
        <w:rPr>
          <w:sz w:val="28"/>
        </w:rPr>
      </w:pPr>
    </w:p>
    <w:p>
      <w:pPr>
        <w:pStyle w:val="26"/>
        <w:numPr>
          <w:ilvl w:val="2"/>
          <w:numId w:val="9"/>
        </w:numPr>
        <w:tabs>
          <w:tab w:val="left" w:pos="897"/>
        </w:tabs>
        <w:kinsoku w:val="0"/>
        <w:overflowPunct w:val="0"/>
        <w:ind w:left="897" w:hanging="780"/>
        <w:rPr>
          <w:rFonts w:hint="default"/>
        </w:rPr>
      </w:pPr>
      <w:r>
        <w:rPr>
          <w:spacing w:val="2"/>
        </w:rPr>
        <w:t>供</w:t>
      </w:r>
      <w:r>
        <w:t>应</w:t>
      </w:r>
      <w:r>
        <w:rPr>
          <w:spacing w:val="2"/>
        </w:rPr>
        <w:t>商</w:t>
      </w:r>
      <w:r>
        <w:t>库</w:t>
      </w:r>
    </w:p>
    <w:p>
      <w:pPr>
        <w:kinsoku w:val="0"/>
        <w:overflowPunct w:val="0"/>
        <w:spacing w:before="5" w:line="150" w:lineRule="exact"/>
        <w:rPr>
          <w:sz w:val="15"/>
        </w:rPr>
      </w:pPr>
    </w:p>
    <w:p>
      <w:pPr>
        <w:kinsoku w:val="0"/>
        <w:overflowPunct w:val="0"/>
        <w:spacing w:line="200" w:lineRule="exact"/>
        <w:rPr>
          <w:sz w:val="20"/>
        </w:rPr>
      </w:pPr>
    </w:p>
    <w:p>
      <w:pPr>
        <w:pStyle w:val="8"/>
        <w:kinsoku w:val="0"/>
        <w:overflowPunct w:val="0"/>
        <w:spacing w:line="274" w:lineRule="auto"/>
        <w:ind w:left="120" w:right="100" w:firstLine="480"/>
        <w:jc w:val="both"/>
        <w:rPr>
          <w:rFonts w:ascii="宋体" w:hAnsi="宋体" w:cs="宋体"/>
          <w:sz w:val="24"/>
          <w:szCs w:val="24"/>
        </w:rPr>
      </w:pPr>
      <w:r>
        <w:rPr>
          <w:rFonts w:hint="eastAsia" w:ascii="宋体" w:hAnsi="宋体" w:cs="宋体"/>
          <w:sz w:val="24"/>
          <w:szCs w:val="24"/>
        </w:rPr>
        <w:t>建立供应商库，是政府采购监督管理工作的一种创新，是加快采购执行进程， 提高采购效率的有效手段。通过对投标企业及从业人员的基本信息、资质情况、 主要业绩、不良行为、项目在建和完成情况等信息建立档案，为项目招投标管理 决策并工作提供依据，促进投标企业自身诚信体系的建立、完善，推动招投标工 作健康、自律、有序发展。</w:t>
      </w:r>
    </w:p>
    <w:p>
      <w:pPr>
        <w:pStyle w:val="8"/>
        <w:kinsoku w:val="0"/>
        <w:overflowPunct w:val="0"/>
        <w:spacing w:line="274" w:lineRule="auto"/>
        <w:ind w:left="120" w:right="100" w:firstLine="480"/>
        <w:jc w:val="both"/>
        <w:rPr>
          <w:rFonts w:ascii="宋体" w:hAnsi="宋体" w:cs="宋体"/>
          <w:sz w:val="24"/>
          <w:szCs w:val="24"/>
        </w:rPr>
      </w:pPr>
      <w:r>
        <w:rPr>
          <w:rFonts w:hint="eastAsia" w:ascii="宋体" w:hAnsi="宋体" w:cs="宋体"/>
          <w:sz w:val="24"/>
          <w:szCs w:val="24"/>
        </w:rPr>
        <w:t>供应商库具体内容包括：</w:t>
      </w:r>
    </w:p>
    <w:p>
      <w:pPr>
        <w:pStyle w:val="8"/>
        <w:kinsoku w:val="0"/>
        <w:overflowPunct w:val="0"/>
        <w:spacing w:line="274" w:lineRule="auto"/>
        <w:ind w:left="120" w:right="100" w:firstLine="480"/>
        <w:jc w:val="both"/>
        <w:rPr>
          <w:rFonts w:ascii="宋体" w:hAnsi="宋体" w:cs="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 企业基本信息：工商登记的信息，如注册资金、营业范围等。</w:t>
      </w:r>
    </w:p>
    <w:p>
      <w:pPr>
        <w:pStyle w:val="8"/>
        <w:kinsoku w:val="0"/>
        <w:overflowPunct w:val="0"/>
        <w:spacing w:line="274" w:lineRule="auto"/>
        <w:ind w:left="120" w:right="100" w:firstLine="480"/>
        <w:jc w:val="both"/>
        <w:rPr>
          <w:rFonts w:ascii="宋体" w:hAnsi="宋体" w:cs="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 企业资质：主要收集在招投标过程中带用的、影响投标资格和评分 的资质，如信息系统集成资质、高新技术企业、安防资质、建筑工程资质、电力 设计施工资质、重合同守信用等，可以分门别类进行收集整理、入库。需要注意 这些资质的有效期。</w:t>
      </w:r>
    </w:p>
    <w:p>
      <w:pPr>
        <w:pStyle w:val="8"/>
        <w:kinsoku w:val="0"/>
        <w:overflowPunct w:val="0"/>
        <w:spacing w:line="274" w:lineRule="auto"/>
        <w:ind w:left="120" w:right="100" w:firstLine="480"/>
        <w:jc w:val="both"/>
        <w:rPr>
          <w:rFonts w:ascii="宋体" w:hAnsi="宋体" w:cs="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 企业业绩：包括系统建立以前三年内的中标工程和获奖情况，系统 建立后，各地的中标信息同样会作为企业的业绩添加到系统中。</w:t>
      </w:r>
    </w:p>
    <w:p>
      <w:pPr>
        <w:pStyle w:val="8"/>
        <w:kinsoku w:val="0"/>
        <w:overflowPunct w:val="0"/>
        <w:spacing w:line="274" w:lineRule="auto"/>
        <w:ind w:left="120" w:right="100" w:firstLine="480"/>
        <w:jc w:val="both"/>
        <w:rPr>
          <w:rFonts w:ascii="宋体" w:hAnsi="宋体" w:cs="宋体"/>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 企业违纪记录：有确凿证据、已被政府相关部门被处理的违规记录。 供应商注册登记采取以网上申请为主，以书面审报为辅的形式。在公共资源</w:t>
      </w:r>
    </w:p>
    <w:p>
      <w:pPr>
        <w:pStyle w:val="8"/>
        <w:kinsoku w:val="0"/>
        <w:overflowPunct w:val="0"/>
        <w:spacing w:line="274" w:lineRule="auto"/>
        <w:ind w:left="120" w:right="100" w:firstLine="480"/>
        <w:jc w:val="both"/>
        <w:rPr>
          <w:sz w:val="13"/>
        </w:rPr>
      </w:pPr>
      <w:r>
        <w:rPr>
          <w:rFonts w:hint="eastAsia" w:ascii="宋体" w:hAnsi="宋体" w:cs="宋体"/>
          <w:sz w:val="24"/>
          <w:szCs w:val="24"/>
        </w:rPr>
        <w:t>交易服务外网门户发布供应商征集公告，对供应商注册所用资料进行详细说明， 供应商在有意愿参加情况下，进行供应商注册，填写供应商信息，信息涵盖供应 商的名称、地址、办事处、营业执照号码、法人、注册资金、组织机构代码证号、 经营期限税务登记证号、登记机关、联系人、联系的方式</w:t>
      </w:r>
      <w:r>
        <w:rPr>
          <w:rFonts w:hint="eastAsia"/>
          <w:spacing w:val="-16"/>
          <w:sz w:val="24"/>
        </w:rPr>
        <w:t>、</w:t>
      </w:r>
      <w:r>
        <w:rPr>
          <w:rFonts w:hint="eastAsia"/>
          <w:sz w:val="24"/>
        </w:rPr>
        <w:t>邮箱</w:t>
      </w:r>
      <w:r>
        <w:rPr>
          <w:rFonts w:hint="eastAsia"/>
          <w:spacing w:val="-16"/>
          <w:sz w:val="24"/>
        </w:rPr>
        <w:t>、</w:t>
      </w:r>
      <w:r>
        <w:rPr>
          <w:rFonts w:hint="eastAsia"/>
          <w:sz w:val="24"/>
        </w:rPr>
        <w:t>纳税记录</w:t>
      </w:r>
      <w:r>
        <w:rPr>
          <w:rFonts w:hint="eastAsia"/>
          <w:spacing w:val="-16"/>
          <w:sz w:val="24"/>
        </w:rPr>
        <w:t>、</w:t>
      </w:r>
      <w:r>
        <w:rPr>
          <w:rFonts w:hint="eastAsia"/>
          <w:sz w:val="24"/>
        </w:rPr>
        <w:t>经</w:t>
      </w:r>
      <w:r>
        <w:rPr>
          <w:rFonts w:hint="eastAsia"/>
          <w:w w:val="99"/>
          <w:sz w:val="24"/>
        </w:rPr>
        <w:t xml:space="preserve"> </w:t>
      </w:r>
      <w:r>
        <w:rPr>
          <w:rFonts w:hint="eastAsia"/>
          <w:sz w:val="24"/>
        </w:rPr>
        <w:t>营范围</w:t>
      </w:r>
      <w:r>
        <w:rPr>
          <w:rFonts w:hint="eastAsia"/>
          <w:spacing w:val="-23"/>
          <w:sz w:val="24"/>
        </w:rPr>
        <w:t>、</w:t>
      </w:r>
      <w:r>
        <w:rPr>
          <w:rFonts w:hint="eastAsia"/>
          <w:sz w:val="24"/>
        </w:rPr>
        <w:t>供货范围</w:t>
      </w:r>
      <w:r>
        <w:rPr>
          <w:rFonts w:hint="eastAsia"/>
          <w:spacing w:val="-23"/>
          <w:sz w:val="24"/>
        </w:rPr>
        <w:t>、</w:t>
      </w:r>
      <w:r>
        <w:rPr>
          <w:rFonts w:hint="eastAsia"/>
          <w:sz w:val="24"/>
        </w:rPr>
        <w:t>企业介绍等具体选项</w:t>
      </w:r>
      <w:r>
        <w:rPr>
          <w:rFonts w:hint="eastAsia"/>
          <w:spacing w:val="-23"/>
          <w:sz w:val="24"/>
        </w:rPr>
        <w:t>。</w:t>
      </w:r>
    </w:p>
    <w:p>
      <w:pPr>
        <w:kinsoku w:val="0"/>
        <w:overflowPunct w:val="0"/>
        <w:spacing w:line="200" w:lineRule="exact"/>
        <w:rPr>
          <w:sz w:val="20"/>
        </w:rPr>
      </w:pPr>
    </w:p>
    <w:p>
      <w:pPr>
        <w:pStyle w:val="26"/>
        <w:kinsoku w:val="0"/>
        <w:overflowPunct w:val="0"/>
        <w:ind w:left="117"/>
        <w:rPr>
          <w:rFonts w:hint="default"/>
        </w:rPr>
      </w:pPr>
      <w:r>
        <w:rPr>
          <w:rFonts w:hint="default" w:ascii="Calibri" w:hAnsi="Calibri" w:eastAsia="Calibri"/>
          <w:spacing w:val="-1"/>
        </w:rPr>
        <w:t>4.2</w:t>
      </w:r>
      <w:r>
        <w:rPr>
          <w:rFonts w:hint="default" w:ascii="Calibri" w:hAnsi="Calibri" w:eastAsia="Calibri"/>
        </w:rPr>
        <w:t>.</w:t>
      </w:r>
      <w:r>
        <w:rPr>
          <w:rFonts w:hint="default" w:ascii="Calibri" w:hAnsi="Calibri" w:eastAsia="Calibri"/>
          <w:spacing w:val="-1"/>
        </w:rPr>
        <w:t>3</w:t>
      </w:r>
      <w:r>
        <w:rPr>
          <w:rFonts w:hint="default" w:ascii="Calibri" w:hAnsi="Calibri" w:eastAsia="Calibri"/>
        </w:rPr>
        <w:t>.</w:t>
      </w:r>
      <w:r>
        <w:rPr>
          <w:rFonts w:hint="default" w:ascii="Calibri" w:hAnsi="Calibri" w:eastAsia="Calibri"/>
          <w:spacing w:val="-3"/>
        </w:rPr>
        <w:t xml:space="preserve"> </w:t>
      </w:r>
      <w:r>
        <w:rPr>
          <w:spacing w:val="2"/>
        </w:rPr>
        <w:t>社</w:t>
      </w:r>
      <w:r>
        <w:t>会</w:t>
      </w:r>
      <w:r>
        <w:rPr>
          <w:spacing w:val="2"/>
        </w:rPr>
        <w:t>代</w:t>
      </w:r>
      <w:r>
        <w:t>理</w:t>
      </w:r>
      <w:r>
        <w:rPr>
          <w:spacing w:val="2"/>
        </w:rPr>
        <w:t>机</w:t>
      </w:r>
      <w:r>
        <w:t>构</w:t>
      </w:r>
      <w:r>
        <w:rPr>
          <w:spacing w:val="2"/>
        </w:rPr>
        <w:t>信</w:t>
      </w:r>
      <w:r>
        <w:t>息库</w:t>
      </w:r>
    </w:p>
    <w:p>
      <w:pPr>
        <w:kinsoku w:val="0"/>
        <w:overflowPunct w:val="0"/>
        <w:spacing w:before="7" w:line="150" w:lineRule="exact"/>
        <w:rPr>
          <w:sz w:val="15"/>
        </w:rPr>
      </w:pPr>
    </w:p>
    <w:p>
      <w:pPr>
        <w:kinsoku w:val="0"/>
        <w:overflowPunct w:val="0"/>
        <w:spacing w:line="200" w:lineRule="exact"/>
        <w:rPr>
          <w:sz w:val="20"/>
        </w:rPr>
      </w:pPr>
    </w:p>
    <w:p>
      <w:pPr>
        <w:pStyle w:val="8"/>
        <w:kinsoku w:val="0"/>
        <w:overflowPunct w:val="0"/>
        <w:spacing w:line="274" w:lineRule="auto"/>
        <w:ind w:left="120" w:right="100" w:firstLine="480"/>
        <w:jc w:val="both"/>
        <w:rPr>
          <w:rFonts w:ascii="宋体" w:hAnsi="宋体" w:cs="宋体"/>
          <w:sz w:val="24"/>
          <w:szCs w:val="24"/>
        </w:rPr>
      </w:pPr>
      <w:r>
        <w:rPr>
          <w:rFonts w:hint="eastAsia" w:ascii="宋体" w:hAnsi="宋体" w:cs="宋体"/>
          <w:sz w:val="24"/>
          <w:szCs w:val="24"/>
        </w:rPr>
        <w:t>为了进一步规范全市招投标代理市场行为，维护招标代理服务市场的正常秩 序，建立招投标代理机构良性竞争机制，需要建设全市统一的社会代理机构信息 库。</w:t>
      </w:r>
    </w:p>
    <w:p>
      <w:pPr>
        <w:pStyle w:val="8"/>
        <w:kinsoku w:val="0"/>
        <w:overflowPunct w:val="0"/>
        <w:spacing w:line="274" w:lineRule="auto"/>
        <w:ind w:left="120" w:right="100" w:firstLine="480"/>
        <w:jc w:val="both"/>
        <w:rPr>
          <w:rFonts w:ascii="宋体" w:hAnsi="宋体" w:cs="宋体"/>
          <w:sz w:val="24"/>
          <w:szCs w:val="24"/>
        </w:rPr>
      </w:pPr>
      <w:r>
        <w:rPr>
          <w:rFonts w:hint="eastAsia" w:ascii="宋体" w:hAnsi="宋体" w:cs="宋体"/>
          <w:sz w:val="24"/>
          <w:szCs w:val="24"/>
        </w:rPr>
        <w:t xml:space="preserve">社会代理机构入库基本入库程序是在公共资源交易服务外网门户发布招选 代理机构公告；代理机构提交书面申请，通过提交相应企业基本信息、从业人员 信息、企业资质、企业业绩等原件材料至公共资源交易中心审核，审核之后公示， 最终通过后成为注册招标代理机构。代理机构涉及资质等级、业务范围、工商、 税务等事项变更或变动的，须在变更或变动后   </w:t>
      </w:r>
      <w:r>
        <w:rPr>
          <w:rFonts w:ascii="宋体" w:hAnsi="宋体" w:cs="宋体"/>
          <w:sz w:val="24"/>
          <w:szCs w:val="24"/>
        </w:rPr>
        <w:t xml:space="preserve">1    </w:t>
      </w:r>
      <w:r>
        <w:rPr>
          <w:rFonts w:hint="eastAsia" w:ascii="宋体" w:hAnsi="宋体" w:cs="宋体"/>
          <w:sz w:val="24"/>
          <w:szCs w:val="24"/>
        </w:rPr>
        <w:t>周内以书面形式报公共资源交易 中心，逾期不报者将被清除出库。公共资源交易中心根据变更或变动情况实行动 态监管。</w:t>
      </w:r>
    </w:p>
    <w:p>
      <w:pPr>
        <w:pStyle w:val="8"/>
        <w:kinsoku w:val="0"/>
        <w:overflowPunct w:val="0"/>
        <w:spacing w:line="274" w:lineRule="auto"/>
        <w:ind w:left="120" w:right="100" w:firstLine="480"/>
        <w:jc w:val="both"/>
        <w:rPr>
          <w:rFonts w:ascii="宋体" w:hAnsi="宋体" w:cs="宋体"/>
          <w:sz w:val="24"/>
          <w:szCs w:val="24"/>
        </w:rPr>
      </w:pPr>
      <w:r>
        <w:rPr>
          <w:rFonts w:hint="eastAsia" w:ascii="宋体" w:hAnsi="宋体" w:cs="宋体"/>
          <w:sz w:val="24"/>
          <w:szCs w:val="24"/>
        </w:rPr>
        <w:t>代理机构入库信息包括其工商登记的信息、从业人员信息、所从事的主要行 业和专业领域、资质、业绩。代理机构自相关行业主管部门定期考核，相关信息 在公共资源交易服务外网门户上公示，接受公众监督</w:t>
      </w:r>
    </w:p>
    <w:p>
      <w:pPr>
        <w:pStyle w:val="8"/>
        <w:kinsoku w:val="0"/>
        <w:overflowPunct w:val="0"/>
        <w:spacing w:line="274" w:lineRule="auto"/>
        <w:ind w:left="120" w:right="100" w:firstLine="480"/>
        <w:jc w:val="both"/>
        <w:rPr>
          <w:rFonts w:ascii="宋体" w:hAnsi="宋体" w:cs="宋体"/>
          <w:sz w:val="24"/>
          <w:szCs w:val="24"/>
        </w:rPr>
      </w:pPr>
      <w:r>
        <w:rPr>
          <w:rFonts w:hint="eastAsia" w:ascii="宋体" w:hAnsi="宋体" w:cs="宋体"/>
          <w:sz w:val="24"/>
          <w:szCs w:val="24"/>
        </w:rPr>
        <w:t>建设好代理机构库之后，对于招投标代理机构的选取方式可以多样化：</w:t>
      </w:r>
    </w:p>
    <w:p>
      <w:pPr>
        <w:pStyle w:val="8"/>
        <w:kinsoku w:val="0"/>
        <w:overflowPunct w:val="0"/>
        <w:spacing w:line="274" w:lineRule="auto"/>
        <w:ind w:left="120" w:right="100" w:firstLine="480"/>
        <w:jc w:val="both"/>
        <w:rPr>
          <w:rFonts w:ascii="宋体" w:hAnsi="宋体" w:cs="宋体"/>
          <w:sz w:val="24"/>
          <w:szCs w:val="24"/>
        </w:rPr>
      </w:pPr>
      <w:r>
        <w:rPr>
          <w:rFonts w:ascii="宋体" w:hAnsi="宋体" w:cs="宋体"/>
          <w:sz w:val="24"/>
          <w:szCs w:val="24"/>
        </w:rPr>
        <w:t xml:space="preserve">1. </w:t>
      </w:r>
      <w:r>
        <w:rPr>
          <w:rFonts w:hint="eastAsia" w:ascii="宋体" w:hAnsi="宋体" w:cs="宋体"/>
          <w:sz w:val="24"/>
          <w:szCs w:val="24"/>
        </w:rPr>
        <w:t>电脑随机抽取法，即在有关部门监督下，利用电脑随机抽号方式随机抽</w:t>
      </w:r>
    </w:p>
    <w:p>
      <w:pPr>
        <w:pStyle w:val="8"/>
        <w:kinsoku w:val="0"/>
        <w:overflowPunct w:val="0"/>
        <w:spacing w:line="274" w:lineRule="auto"/>
        <w:ind w:left="120" w:right="100" w:firstLine="480"/>
        <w:jc w:val="both"/>
        <w:rPr>
          <w:rFonts w:ascii="宋体" w:hAnsi="宋体" w:cs="宋体"/>
          <w:sz w:val="24"/>
          <w:szCs w:val="24"/>
        </w:rPr>
      </w:pPr>
      <w:r>
        <w:rPr>
          <w:rFonts w:hint="eastAsia" w:ascii="宋体" w:hAnsi="宋体" w:cs="宋体"/>
          <w:sz w:val="24"/>
          <w:szCs w:val="24"/>
        </w:rPr>
        <w:t>号</w:t>
      </w:r>
    </w:p>
    <w:p>
      <w:pPr>
        <w:pStyle w:val="8"/>
        <w:kinsoku w:val="0"/>
        <w:overflowPunct w:val="0"/>
        <w:spacing w:line="274" w:lineRule="auto"/>
        <w:ind w:left="120" w:right="100" w:firstLine="480"/>
        <w:jc w:val="both"/>
        <w:rPr>
          <w:rFonts w:ascii="宋体" w:hAnsi="宋体" w:cs="宋体"/>
          <w:sz w:val="24"/>
          <w:szCs w:val="24"/>
        </w:rPr>
      </w:pPr>
      <w:r>
        <w:rPr>
          <w:rFonts w:ascii="宋体" w:hAnsi="宋体" w:cs="宋体"/>
          <w:sz w:val="24"/>
          <w:szCs w:val="24"/>
        </w:rPr>
        <w:t xml:space="preserve">2. </w:t>
      </w:r>
      <w:r>
        <w:rPr>
          <w:rFonts w:hint="eastAsia" w:ascii="宋体" w:hAnsi="宋体" w:cs="宋体"/>
          <w:sz w:val="24"/>
          <w:szCs w:val="24"/>
        </w:rPr>
        <w:t>业绩信用综合选取法，即在公共资源交易中心监督下，根挺项目等级和</w:t>
      </w:r>
    </w:p>
    <w:p>
      <w:pPr>
        <w:pStyle w:val="8"/>
        <w:kinsoku w:val="0"/>
        <w:overflowPunct w:val="0"/>
        <w:spacing w:line="274" w:lineRule="auto"/>
        <w:ind w:left="120" w:right="100" w:firstLine="480"/>
        <w:jc w:val="both"/>
        <w:rPr>
          <w:rFonts w:ascii="宋体" w:hAnsi="宋体" w:cs="宋体"/>
          <w:sz w:val="24"/>
          <w:szCs w:val="24"/>
        </w:rPr>
      </w:pPr>
      <w:r>
        <w:rPr>
          <w:rFonts w:hint="eastAsia" w:ascii="宋体" w:hAnsi="宋体" w:cs="宋体"/>
          <w:sz w:val="24"/>
          <w:szCs w:val="24"/>
        </w:rPr>
        <w:t>要求组成评选组，由业主单位综合分析后确定。</w:t>
      </w:r>
    </w:p>
    <w:p>
      <w:pPr>
        <w:pStyle w:val="8"/>
        <w:kinsoku w:val="0"/>
        <w:overflowPunct w:val="0"/>
        <w:spacing w:line="274" w:lineRule="auto"/>
        <w:ind w:left="120" w:right="100" w:firstLine="480"/>
        <w:jc w:val="both"/>
        <w:rPr>
          <w:rFonts w:ascii="宋体" w:hAnsi="宋体" w:cs="宋体"/>
          <w:sz w:val="24"/>
          <w:szCs w:val="24"/>
        </w:rPr>
      </w:pPr>
      <w:r>
        <w:rPr>
          <w:rFonts w:ascii="宋体" w:hAnsi="宋体" w:cs="宋体"/>
          <w:sz w:val="24"/>
          <w:szCs w:val="24"/>
        </w:rPr>
        <w:t xml:space="preserve">3.  </w:t>
      </w:r>
      <w:r>
        <w:rPr>
          <w:rFonts w:hint="eastAsia" w:ascii="宋体" w:hAnsi="宋体" w:cs="宋体"/>
          <w:sz w:val="24"/>
          <w:szCs w:val="24"/>
        </w:rPr>
        <w:t>公开招标，即按法定程序公开招标。 通过多样化的招投标代理机构选取方法，而不是直接由业主指定代理机构，</w:t>
      </w:r>
    </w:p>
    <w:p>
      <w:pPr>
        <w:pStyle w:val="8"/>
        <w:kinsoku w:val="0"/>
        <w:overflowPunct w:val="0"/>
        <w:spacing w:line="274" w:lineRule="auto"/>
        <w:ind w:left="120" w:right="100" w:firstLine="480"/>
        <w:jc w:val="both"/>
        <w:rPr>
          <w:rFonts w:ascii="宋体" w:hAnsi="宋体" w:cs="宋体"/>
          <w:sz w:val="24"/>
          <w:szCs w:val="24"/>
        </w:rPr>
      </w:pPr>
      <w:r>
        <w:rPr>
          <w:rFonts w:hint="eastAsia" w:ascii="宋体" w:hAnsi="宋体" w:cs="宋体"/>
          <w:sz w:val="24"/>
          <w:szCs w:val="24"/>
        </w:rPr>
        <w:t>从而切断其利益链，保证招投标在公正、公平、公开环境下进行。 系统实现招标代理机构信息的查看功能，包括代理机构业绩、信誉、资质信</w:t>
      </w:r>
    </w:p>
    <w:p>
      <w:pPr>
        <w:pStyle w:val="8"/>
        <w:kinsoku w:val="0"/>
        <w:overflowPunct w:val="0"/>
        <w:spacing w:line="274" w:lineRule="auto"/>
        <w:ind w:left="120" w:right="100" w:firstLine="480"/>
        <w:jc w:val="both"/>
        <w:rPr>
          <w:rFonts w:ascii="宋体" w:hAnsi="宋体" w:cs="宋体"/>
          <w:sz w:val="24"/>
          <w:szCs w:val="24"/>
        </w:rPr>
      </w:pPr>
      <w:r>
        <w:rPr>
          <w:rFonts w:hint="eastAsia" w:ascii="宋体" w:hAnsi="宋体" w:cs="宋体"/>
          <w:sz w:val="24"/>
          <w:szCs w:val="24"/>
        </w:rPr>
        <w:t>息的查看，并提供代理机构信息的检索和统计分析能力。系统主要功能模块如下：</w:t>
      </w:r>
    </w:p>
    <w:p>
      <w:pPr>
        <w:pStyle w:val="8"/>
        <w:kinsoku w:val="0"/>
        <w:overflowPunct w:val="0"/>
        <w:spacing w:line="274" w:lineRule="auto"/>
        <w:ind w:left="120" w:right="100" w:firstLine="480"/>
        <w:jc w:val="both"/>
        <w:rPr>
          <w:rFonts w:ascii="宋体" w:hAnsi="宋体" w:cs="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w:t>
      </w:r>
      <w:r>
        <w:rPr>
          <w:rFonts w:hint="eastAsia" w:ascii="宋体" w:hAnsi="宋体" w:cs="宋体"/>
          <w:sz w:val="24"/>
          <w:szCs w:val="24"/>
        </w:rPr>
        <w:tab/>
      </w:r>
      <w:r>
        <w:rPr>
          <w:rFonts w:hint="eastAsia" w:ascii="宋体" w:hAnsi="宋体" w:cs="宋体"/>
          <w:sz w:val="24"/>
          <w:szCs w:val="24"/>
        </w:rPr>
        <w:t>代理机构信息维护</w:t>
      </w:r>
    </w:p>
    <w:p>
      <w:pPr>
        <w:pStyle w:val="8"/>
        <w:kinsoku w:val="0"/>
        <w:overflowPunct w:val="0"/>
        <w:spacing w:line="274" w:lineRule="auto"/>
        <w:ind w:left="120" w:right="100" w:firstLine="480"/>
        <w:jc w:val="both"/>
        <w:rPr>
          <w:rFonts w:ascii="宋体" w:hAnsi="宋体" w:cs="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w:t>
      </w:r>
      <w:r>
        <w:rPr>
          <w:rFonts w:hint="eastAsia" w:ascii="宋体" w:hAnsi="宋体" w:cs="宋体"/>
          <w:sz w:val="24"/>
          <w:szCs w:val="24"/>
        </w:rPr>
        <w:tab/>
      </w:r>
      <w:r>
        <w:rPr>
          <w:rFonts w:hint="eastAsia" w:ascii="宋体" w:hAnsi="宋体" w:cs="宋体"/>
          <w:sz w:val="24"/>
          <w:szCs w:val="24"/>
        </w:rPr>
        <w:t>代理机构信息统计</w:t>
      </w:r>
    </w:p>
    <w:p>
      <w:pPr>
        <w:pStyle w:val="26"/>
        <w:kinsoku w:val="0"/>
        <w:overflowPunct w:val="0"/>
        <w:spacing w:line="441" w:lineRule="exact"/>
        <w:ind w:left="0" w:firstLine="0"/>
        <w:rPr>
          <w:rFonts w:hint="default"/>
        </w:rPr>
      </w:pPr>
      <w:r>
        <w:rPr>
          <w:spacing w:val="2"/>
        </w:rPr>
        <w:t>诚</w:t>
      </w:r>
      <w:r>
        <w:t>信</w:t>
      </w:r>
      <w:r>
        <w:rPr>
          <w:spacing w:val="2"/>
        </w:rPr>
        <w:t>档</w:t>
      </w:r>
      <w:r>
        <w:t>案库</w:t>
      </w:r>
    </w:p>
    <w:p>
      <w:pPr>
        <w:kinsoku w:val="0"/>
        <w:overflowPunct w:val="0"/>
        <w:spacing w:line="200" w:lineRule="exact"/>
        <w:ind w:left="0" w:firstLine="0"/>
        <w:rPr>
          <w:sz w:val="20"/>
        </w:rPr>
      </w:pPr>
    </w:p>
    <w:p>
      <w:pPr>
        <w:pStyle w:val="8"/>
        <w:kinsoku w:val="0"/>
        <w:overflowPunct w:val="0"/>
        <w:spacing w:line="274" w:lineRule="auto"/>
        <w:ind w:left="120" w:right="100" w:firstLine="480"/>
        <w:jc w:val="both"/>
        <w:rPr>
          <w:rFonts w:ascii="宋体" w:hAnsi="宋体" w:cs="宋体"/>
          <w:sz w:val="24"/>
          <w:szCs w:val="24"/>
        </w:rPr>
      </w:pPr>
      <w:r>
        <w:rPr>
          <w:rFonts w:hint="eastAsia" w:ascii="宋体" w:hAnsi="宋体" w:cs="宋体"/>
          <w:sz w:val="24"/>
          <w:szCs w:val="24"/>
        </w:rPr>
        <w:t>系统将建立整体的诚信档案库，对招标人、供应商、招标代理机构和评标专 家评审行为进行诚信记录，对其进行审核备案，将诚信记录用于今后招投标交易 中对交易人的行为进行评价。</w:t>
      </w:r>
    </w:p>
    <w:p>
      <w:pPr>
        <w:kinsoku w:val="0"/>
        <w:overflowPunct w:val="0"/>
        <w:spacing w:before="6" w:line="280" w:lineRule="exact"/>
        <w:rPr>
          <w:sz w:val="28"/>
        </w:rPr>
      </w:pPr>
    </w:p>
    <w:p>
      <w:pPr>
        <w:pStyle w:val="26"/>
        <w:kinsoku w:val="0"/>
        <w:overflowPunct w:val="0"/>
        <w:ind w:left="117"/>
        <w:rPr>
          <w:rFonts w:hint="default"/>
        </w:rPr>
      </w:pPr>
      <w:r>
        <w:rPr>
          <w:rFonts w:hint="default" w:ascii="Calibri" w:hAnsi="Calibri" w:eastAsia="Calibri"/>
          <w:spacing w:val="-1"/>
        </w:rPr>
        <w:t>4.2</w:t>
      </w:r>
      <w:r>
        <w:rPr>
          <w:rFonts w:hint="default" w:ascii="Calibri" w:hAnsi="Calibri" w:eastAsia="Calibri"/>
        </w:rPr>
        <w:t>.</w:t>
      </w:r>
      <w:r>
        <w:rPr>
          <w:rFonts w:hint="default" w:ascii="Calibri" w:hAnsi="Calibri" w:eastAsia="Calibri"/>
          <w:spacing w:val="-1"/>
        </w:rPr>
        <w:t>5</w:t>
      </w:r>
      <w:r>
        <w:rPr>
          <w:rFonts w:hint="default" w:ascii="Calibri" w:hAnsi="Calibri" w:eastAsia="Calibri"/>
        </w:rPr>
        <w:t>.</w:t>
      </w:r>
      <w:r>
        <w:rPr>
          <w:rFonts w:hint="default" w:ascii="Calibri" w:hAnsi="Calibri" w:eastAsia="Calibri"/>
          <w:spacing w:val="3"/>
        </w:rPr>
        <w:t xml:space="preserve"> </w:t>
      </w:r>
      <w:r>
        <w:rPr>
          <w:spacing w:val="2"/>
        </w:rPr>
        <w:t>招</w:t>
      </w:r>
      <w:r>
        <w:t>标</w:t>
      </w:r>
      <w:r>
        <w:rPr>
          <w:spacing w:val="2"/>
        </w:rPr>
        <w:t>人</w:t>
      </w:r>
      <w:r>
        <w:t>诚</w:t>
      </w:r>
      <w:r>
        <w:rPr>
          <w:spacing w:val="2"/>
        </w:rPr>
        <w:t>信</w:t>
      </w:r>
      <w:r>
        <w:t>档案</w:t>
      </w:r>
    </w:p>
    <w:p>
      <w:pPr>
        <w:kinsoku w:val="0"/>
        <w:overflowPunct w:val="0"/>
        <w:spacing w:line="200" w:lineRule="exact"/>
        <w:ind w:left="0" w:firstLine="0"/>
        <w:rPr>
          <w:sz w:val="20"/>
        </w:rPr>
      </w:pPr>
    </w:p>
    <w:p>
      <w:pPr>
        <w:pStyle w:val="8"/>
        <w:kinsoku w:val="0"/>
        <w:overflowPunct w:val="0"/>
        <w:spacing w:line="274" w:lineRule="auto"/>
        <w:ind w:left="120" w:right="100" w:firstLine="480"/>
        <w:jc w:val="both"/>
        <w:rPr>
          <w:rFonts w:ascii="宋体" w:hAnsi="宋体" w:cs="宋体"/>
          <w:sz w:val="24"/>
          <w:szCs w:val="24"/>
        </w:rPr>
      </w:pPr>
      <w:r>
        <w:rPr>
          <w:rFonts w:hint="eastAsia" w:ascii="宋体" w:hAnsi="宋体" w:cs="宋体"/>
          <w:sz w:val="24"/>
          <w:szCs w:val="24"/>
        </w:rPr>
        <w:t>招标人诚信档案主要记录招标过程中的违法违规情况，以及招标之后的履约 行为。</w:t>
      </w:r>
    </w:p>
    <w:p>
      <w:pPr>
        <w:pStyle w:val="8"/>
        <w:kinsoku w:val="0"/>
        <w:overflowPunct w:val="0"/>
        <w:spacing w:line="274" w:lineRule="auto"/>
        <w:ind w:left="120" w:right="100" w:firstLine="480"/>
        <w:jc w:val="both"/>
        <w:rPr>
          <w:rFonts w:ascii="宋体" w:hAnsi="宋体" w:cs="宋体"/>
          <w:sz w:val="24"/>
          <w:szCs w:val="24"/>
        </w:rPr>
      </w:pPr>
      <w:r>
        <w:rPr>
          <w:rFonts w:hint="eastAsia" w:ascii="宋体" w:hAnsi="宋体" w:cs="宋体"/>
          <w:sz w:val="24"/>
          <w:szCs w:val="24"/>
        </w:rPr>
        <w:t>通过招投标各方参与人员填写的评价意见记录招标人诚信行为。评价意见内 容包括投标文件的要求是否对所有投标人平等；评标过程是否随意改变评标办 法；招标人是否内定中标人，相关人员是否泄漏标底和评标专家名单．招标人和 招标代理机构是否有不正当行为等等。</w:t>
      </w:r>
    </w:p>
    <w:p>
      <w:pPr>
        <w:pStyle w:val="8"/>
        <w:kinsoku w:val="0"/>
        <w:overflowPunct w:val="0"/>
        <w:spacing w:line="274" w:lineRule="auto"/>
        <w:ind w:left="120" w:right="100" w:firstLine="480"/>
        <w:jc w:val="both"/>
        <w:rPr>
          <w:rFonts w:ascii="宋体" w:hAnsi="宋体" w:cs="宋体"/>
          <w:sz w:val="24"/>
          <w:szCs w:val="24"/>
        </w:rPr>
      </w:pPr>
      <w:r>
        <w:rPr>
          <w:rFonts w:hint="eastAsia" w:ascii="宋体" w:hAnsi="宋体" w:cs="宋体"/>
          <w:sz w:val="24"/>
          <w:szCs w:val="24"/>
        </w:rPr>
        <w:t>项目中标之后，涉及到招标人合同履约行为记录。中标人可以在履约过程中 工作态度、资金拨付、承诺兑现、廉洁等方面对招标人提出评价意见，作为招投 人的诚信记录在案。</w:t>
      </w:r>
    </w:p>
    <w:p>
      <w:pPr>
        <w:kinsoku w:val="0"/>
        <w:overflowPunct w:val="0"/>
        <w:spacing w:before="6" w:line="280" w:lineRule="exact"/>
        <w:rPr>
          <w:sz w:val="28"/>
        </w:rPr>
      </w:pPr>
    </w:p>
    <w:p>
      <w:pPr>
        <w:pStyle w:val="26"/>
        <w:kinsoku w:val="0"/>
        <w:overflowPunct w:val="0"/>
        <w:ind w:left="117"/>
        <w:rPr>
          <w:rFonts w:hint="default"/>
        </w:rPr>
      </w:pPr>
      <w:r>
        <w:rPr>
          <w:rFonts w:hint="default" w:ascii="Calibri" w:hAnsi="Calibri" w:eastAsia="Calibri"/>
          <w:spacing w:val="-1"/>
        </w:rPr>
        <w:t>4.2</w:t>
      </w:r>
      <w:r>
        <w:rPr>
          <w:rFonts w:hint="default" w:ascii="Calibri" w:hAnsi="Calibri" w:eastAsia="Calibri"/>
        </w:rPr>
        <w:t>.</w:t>
      </w:r>
      <w:r>
        <w:rPr>
          <w:rFonts w:hint="default" w:ascii="Calibri" w:hAnsi="Calibri" w:eastAsia="Calibri"/>
          <w:spacing w:val="-1"/>
        </w:rPr>
        <w:t>6</w:t>
      </w:r>
      <w:r>
        <w:rPr>
          <w:rFonts w:hint="default" w:ascii="Calibri" w:hAnsi="Calibri" w:eastAsia="Calibri"/>
        </w:rPr>
        <w:t>.</w:t>
      </w:r>
      <w:r>
        <w:rPr>
          <w:rFonts w:hint="default" w:ascii="Calibri" w:hAnsi="Calibri" w:eastAsia="Calibri"/>
          <w:spacing w:val="3"/>
        </w:rPr>
        <w:t xml:space="preserve"> </w:t>
      </w:r>
      <w:r>
        <w:rPr>
          <w:spacing w:val="2"/>
        </w:rPr>
        <w:t>供</w:t>
      </w:r>
      <w:r>
        <w:t>应</w:t>
      </w:r>
      <w:r>
        <w:rPr>
          <w:spacing w:val="2"/>
        </w:rPr>
        <w:t>商</w:t>
      </w:r>
      <w:r>
        <w:t>诚</w:t>
      </w:r>
      <w:r>
        <w:rPr>
          <w:spacing w:val="2"/>
        </w:rPr>
        <w:t>信</w:t>
      </w:r>
      <w:r>
        <w:t>档案</w:t>
      </w:r>
    </w:p>
    <w:p>
      <w:pPr>
        <w:kinsoku w:val="0"/>
        <w:overflowPunct w:val="0"/>
        <w:spacing w:before="7" w:line="150" w:lineRule="exact"/>
        <w:rPr>
          <w:sz w:val="15"/>
        </w:rPr>
      </w:pPr>
    </w:p>
    <w:p>
      <w:pPr>
        <w:kinsoku w:val="0"/>
        <w:overflowPunct w:val="0"/>
        <w:spacing w:line="200" w:lineRule="exact"/>
        <w:rPr>
          <w:sz w:val="20"/>
        </w:rPr>
      </w:pPr>
    </w:p>
    <w:p>
      <w:pPr>
        <w:pStyle w:val="8"/>
        <w:kinsoku w:val="0"/>
        <w:overflowPunct w:val="0"/>
        <w:spacing w:line="274" w:lineRule="auto"/>
        <w:ind w:left="120" w:right="100" w:firstLine="480"/>
        <w:jc w:val="both"/>
        <w:rPr>
          <w:rFonts w:ascii="宋体" w:hAnsi="宋体" w:cs="宋体"/>
          <w:sz w:val="24"/>
          <w:szCs w:val="24"/>
        </w:rPr>
      </w:pPr>
      <w:r>
        <w:rPr>
          <w:rFonts w:hint="eastAsia" w:ascii="宋体" w:hAnsi="宋体" w:cs="宋体"/>
          <w:sz w:val="24"/>
          <w:szCs w:val="24"/>
        </w:rPr>
        <w:t>参加县级的政府采购活动的供应商，为供应商诚信档案的记录对象，财政 部门、采购代理机构和采购单位应如实记录和客观反映注册供应商参加政府采购 活动的诚信状况，共同建设和管理全市统一的供应商诚信档案库，逐步建立和完 善政府采购不良行为的联合惩戒制度和政府采购市场诚信体系，并实行动态管 理。供应商诚信档案记录以下内容：</w:t>
      </w:r>
    </w:p>
    <w:p>
      <w:pPr>
        <w:pStyle w:val="8"/>
        <w:kinsoku w:val="0"/>
        <w:overflowPunct w:val="0"/>
        <w:spacing w:line="274" w:lineRule="auto"/>
        <w:ind w:left="120" w:right="100" w:firstLine="480"/>
        <w:jc w:val="both"/>
        <w:rPr>
          <w:rFonts w:ascii="宋体" w:hAnsi="宋体" w:cs="宋体"/>
          <w:sz w:val="24"/>
          <w:szCs w:val="24"/>
        </w:rPr>
      </w:pPr>
      <w:r>
        <w:rPr>
          <w:rFonts w:ascii="宋体" w:hAnsi="宋体" w:cs="宋体"/>
          <w:sz w:val="24"/>
          <w:szCs w:val="24"/>
        </w:rPr>
        <w:t xml:space="preserve">1. </w:t>
      </w:r>
      <w:r>
        <w:rPr>
          <w:rFonts w:hint="eastAsia" w:ascii="宋体" w:hAnsi="宋体" w:cs="宋体"/>
          <w:sz w:val="24"/>
          <w:szCs w:val="24"/>
        </w:rPr>
        <w:t>供应商积极响应政府采购的情况，包括参加公安公开招标的投标次数和 表现情况，以及接受邀请参加投标、竞争性淡判的表现；</w:t>
      </w:r>
    </w:p>
    <w:p>
      <w:pPr>
        <w:pStyle w:val="8"/>
        <w:kinsoku w:val="0"/>
        <w:overflowPunct w:val="0"/>
        <w:spacing w:line="274" w:lineRule="auto"/>
        <w:ind w:left="120" w:right="100" w:firstLine="480"/>
        <w:jc w:val="both"/>
        <w:rPr>
          <w:rFonts w:ascii="宋体" w:hAnsi="宋体" w:cs="宋体"/>
          <w:sz w:val="24"/>
          <w:szCs w:val="24"/>
        </w:rPr>
      </w:pPr>
      <w:r>
        <w:rPr>
          <w:rFonts w:ascii="宋体" w:hAnsi="宋体" w:cs="宋体"/>
          <w:sz w:val="24"/>
          <w:szCs w:val="24"/>
        </w:rPr>
        <w:t xml:space="preserve">2. </w:t>
      </w:r>
      <w:r>
        <w:rPr>
          <w:rFonts w:hint="eastAsia" w:ascii="宋体" w:hAnsi="宋体" w:cs="宋体"/>
          <w:sz w:val="24"/>
          <w:szCs w:val="24"/>
        </w:rPr>
        <w:t>供应商在参加政府采购过程中的行为规范，是否存在违规、违法行为；</w:t>
      </w:r>
    </w:p>
    <w:p>
      <w:pPr>
        <w:pStyle w:val="8"/>
        <w:kinsoku w:val="0"/>
        <w:overflowPunct w:val="0"/>
        <w:spacing w:line="274" w:lineRule="auto"/>
        <w:ind w:left="120" w:right="100" w:firstLine="480"/>
        <w:jc w:val="both"/>
        <w:rPr>
          <w:rFonts w:ascii="宋体" w:hAnsi="宋体" w:cs="宋体"/>
          <w:sz w:val="24"/>
          <w:szCs w:val="24"/>
        </w:rPr>
      </w:pPr>
      <w:r>
        <w:rPr>
          <w:rFonts w:ascii="宋体" w:hAnsi="宋体" w:cs="宋体"/>
          <w:sz w:val="24"/>
          <w:szCs w:val="24"/>
        </w:rPr>
        <w:t xml:space="preserve">3. </w:t>
      </w:r>
      <w:r>
        <w:rPr>
          <w:rFonts w:hint="eastAsia" w:ascii="宋体" w:hAnsi="宋体" w:cs="宋体"/>
          <w:sz w:val="24"/>
          <w:szCs w:val="24"/>
        </w:rPr>
        <w:t>供应商履行采购合同的状态，是否全面履行合同，是否提供良好的售后 服务；</w:t>
      </w:r>
    </w:p>
    <w:p>
      <w:pPr>
        <w:pStyle w:val="8"/>
        <w:kinsoku w:val="0"/>
        <w:overflowPunct w:val="0"/>
        <w:spacing w:line="274" w:lineRule="auto"/>
        <w:ind w:left="120" w:right="100" w:firstLine="480"/>
        <w:jc w:val="both"/>
        <w:rPr>
          <w:rFonts w:ascii="宋体" w:hAnsi="宋体" w:cs="宋体"/>
          <w:sz w:val="24"/>
          <w:szCs w:val="24"/>
        </w:rPr>
      </w:pPr>
      <w:r>
        <w:rPr>
          <w:rFonts w:ascii="宋体" w:hAnsi="宋体" w:cs="宋体"/>
          <w:sz w:val="24"/>
          <w:szCs w:val="24"/>
        </w:rPr>
        <w:t xml:space="preserve">4.  </w:t>
      </w:r>
      <w:r>
        <w:rPr>
          <w:rFonts w:hint="eastAsia" w:ascii="宋体" w:hAnsi="宋体" w:cs="宋体"/>
          <w:sz w:val="24"/>
          <w:szCs w:val="24"/>
        </w:rPr>
        <w:t>投诉及处理情况。</w:t>
      </w:r>
    </w:p>
    <w:p>
      <w:pPr>
        <w:pStyle w:val="8"/>
        <w:kinsoku w:val="0"/>
        <w:overflowPunct w:val="0"/>
        <w:spacing w:line="274" w:lineRule="auto"/>
        <w:ind w:left="120" w:right="100" w:firstLine="480"/>
        <w:jc w:val="both"/>
        <w:rPr>
          <w:rFonts w:ascii="宋体" w:hAnsi="宋体" w:cs="宋体"/>
          <w:sz w:val="24"/>
          <w:szCs w:val="24"/>
        </w:rPr>
      </w:pPr>
      <w:r>
        <w:rPr>
          <w:rFonts w:hint="eastAsia" w:ascii="宋体" w:hAnsi="宋体" w:cs="宋体"/>
          <w:sz w:val="24"/>
          <w:szCs w:val="24"/>
        </w:rPr>
        <w:t>供应商的诚信档案记录数据来源，可以充分利用每次招投标项目各方参与人</w:t>
      </w:r>
    </w:p>
    <w:p>
      <w:pPr>
        <w:pStyle w:val="8"/>
        <w:kinsoku w:val="0"/>
        <w:overflowPunct w:val="0"/>
        <w:spacing w:line="274" w:lineRule="auto"/>
        <w:ind w:left="120" w:right="100" w:firstLine="480"/>
        <w:jc w:val="both"/>
        <w:rPr>
          <w:rFonts w:ascii="宋体" w:hAnsi="宋体" w:cs="宋体"/>
          <w:sz w:val="24"/>
          <w:szCs w:val="24"/>
        </w:rPr>
      </w:pPr>
      <w:r>
        <w:rPr>
          <w:rFonts w:hint="eastAsia" w:ascii="宋体" w:hAnsi="宋体" w:cs="宋体"/>
          <w:sz w:val="24"/>
          <w:szCs w:val="24"/>
        </w:rPr>
        <w:t>员填写的针对供应商的评价意见。评价意见内容包括但不限于以下内容：供应商 投标是否认真，标书是否出现漏缺、差错、照抄照搬等雷同问题；供应商之间是 否存在串标、陪标、哄标抬价行为；投标承诺是否符合实际，中标后能否全面履 行合约；其他不正常现象。</w:t>
      </w:r>
    </w:p>
    <w:p>
      <w:pPr>
        <w:pStyle w:val="8"/>
        <w:kinsoku w:val="0"/>
        <w:overflowPunct w:val="0"/>
        <w:spacing w:line="274" w:lineRule="auto"/>
        <w:ind w:left="120" w:right="100" w:firstLine="480"/>
        <w:jc w:val="both"/>
        <w:rPr>
          <w:rFonts w:ascii="宋体" w:hAnsi="宋体" w:cs="宋体"/>
          <w:sz w:val="24"/>
          <w:szCs w:val="24"/>
        </w:rPr>
      </w:pPr>
      <w:r>
        <w:rPr>
          <w:rFonts w:hint="eastAsia" w:ascii="宋体" w:hAnsi="宋体" w:cs="宋体"/>
          <w:sz w:val="24"/>
          <w:szCs w:val="24"/>
        </w:rPr>
        <w:t>对于阳江本地供应商，可以充分利用县级企业信用网提供的阳江企业信用 数据，作为企业诚信信息的补充来源。</w:t>
      </w:r>
    </w:p>
    <w:p>
      <w:pPr>
        <w:kinsoku w:val="0"/>
        <w:overflowPunct w:val="0"/>
        <w:spacing w:before="6" w:line="280" w:lineRule="exact"/>
        <w:rPr>
          <w:sz w:val="28"/>
        </w:rPr>
      </w:pPr>
    </w:p>
    <w:p>
      <w:pPr>
        <w:pStyle w:val="26"/>
        <w:kinsoku w:val="0"/>
        <w:overflowPunct w:val="0"/>
        <w:ind w:left="117"/>
        <w:rPr>
          <w:rFonts w:hint="default"/>
        </w:rPr>
      </w:pPr>
      <w:r>
        <w:rPr>
          <w:rFonts w:hint="default" w:ascii="Calibri" w:hAnsi="Calibri" w:eastAsia="Calibri"/>
          <w:spacing w:val="-1"/>
        </w:rPr>
        <w:t>4.2</w:t>
      </w:r>
      <w:r>
        <w:rPr>
          <w:rFonts w:hint="default" w:ascii="Calibri" w:hAnsi="Calibri" w:eastAsia="Calibri"/>
        </w:rPr>
        <w:t>.</w:t>
      </w:r>
      <w:r>
        <w:rPr>
          <w:rFonts w:hint="default" w:ascii="Calibri" w:hAnsi="Calibri" w:eastAsia="Calibri"/>
          <w:spacing w:val="-1"/>
        </w:rPr>
        <w:t>7</w:t>
      </w:r>
      <w:r>
        <w:rPr>
          <w:rFonts w:hint="default" w:ascii="Calibri" w:hAnsi="Calibri" w:eastAsia="Calibri"/>
        </w:rPr>
        <w:t xml:space="preserve">. </w:t>
      </w:r>
      <w:r>
        <w:rPr>
          <w:spacing w:val="2"/>
        </w:rPr>
        <w:t>代</w:t>
      </w:r>
      <w:r>
        <w:t>理</w:t>
      </w:r>
      <w:r>
        <w:rPr>
          <w:spacing w:val="2"/>
        </w:rPr>
        <w:t>机</w:t>
      </w:r>
      <w:r>
        <w:t>构</w:t>
      </w:r>
      <w:r>
        <w:rPr>
          <w:spacing w:val="2"/>
        </w:rPr>
        <w:t>诚</w:t>
      </w:r>
      <w:r>
        <w:t>信</w:t>
      </w:r>
      <w:r>
        <w:rPr>
          <w:spacing w:val="2"/>
        </w:rPr>
        <w:t>档</w:t>
      </w:r>
      <w:r>
        <w:t>案</w:t>
      </w:r>
    </w:p>
    <w:p>
      <w:pPr>
        <w:kinsoku w:val="0"/>
        <w:overflowPunct w:val="0"/>
        <w:spacing w:before="7" w:line="150" w:lineRule="exact"/>
        <w:rPr>
          <w:sz w:val="15"/>
        </w:rPr>
      </w:pPr>
    </w:p>
    <w:p>
      <w:pPr>
        <w:pStyle w:val="8"/>
        <w:kinsoku w:val="0"/>
        <w:overflowPunct w:val="0"/>
        <w:spacing w:line="274" w:lineRule="auto"/>
        <w:ind w:left="120" w:right="100" w:firstLine="480"/>
        <w:jc w:val="both"/>
        <w:rPr>
          <w:rFonts w:ascii="宋体" w:hAnsi="宋体" w:cs="宋体"/>
          <w:sz w:val="24"/>
          <w:szCs w:val="24"/>
        </w:rPr>
      </w:pPr>
    </w:p>
    <w:p>
      <w:pPr>
        <w:pStyle w:val="8"/>
        <w:kinsoku w:val="0"/>
        <w:overflowPunct w:val="0"/>
        <w:spacing w:line="274" w:lineRule="auto"/>
        <w:ind w:left="120" w:right="100" w:firstLine="480"/>
        <w:jc w:val="both"/>
        <w:rPr>
          <w:rFonts w:ascii="宋体" w:hAnsi="宋体" w:cs="宋体"/>
          <w:sz w:val="24"/>
          <w:szCs w:val="24"/>
        </w:rPr>
      </w:pPr>
      <w:r>
        <w:rPr>
          <w:rFonts w:hint="eastAsia" w:ascii="宋体" w:hAnsi="宋体" w:cs="宋体"/>
          <w:sz w:val="24"/>
          <w:szCs w:val="24"/>
        </w:rPr>
        <w:t>代理机构诚信档案记录企业的资格和素质、市场行为及社会信誉。 企业的资格和素质指标包括下列内容：企业的注册资本金数量；企业专职人</w:t>
      </w:r>
    </w:p>
    <w:p>
      <w:pPr>
        <w:pStyle w:val="8"/>
        <w:kinsoku w:val="0"/>
        <w:overflowPunct w:val="0"/>
        <w:spacing w:line="274" w:lineRule="auto"/>
        <w:ind w:left="120" w:right="100" w:firstLine="480"/>
        <w:jc w:val="both"/>
        <w:rPr>
          <w:rFonts w:ascii="宋体" w:hAnsi="宋体" w:cs="宋体"/>
          <w:sz w:val="24"/>
          <w:szCs w:val="24"/>
        </w:rPr>
      </w:pPr>
      <w:r>
        <w:rPr>
          <w:rFonts w:hint="eastAsia" w:ascii="宋体" w:hAnsi="宋体" w:cs="宋体"/>
          <w:sz w:val="24"/>
          <w:szCs w:val="24"/>
        </w:rPr>
        <w:t>员有关证明材料，办公场所、办公设备；机构内部管理规章制度建立及落实情况。 市场行为包括下列内容：代理项目履行招标备案情况；各阶段招标代理工作</w:t>
      </w:r>
    </w:p>
    <w:p>
      <w:pPr>
        <w:pStyle w:val="8"/>
        <w:kinsoku w:val="0"/>
        <w:overflowPunct w:val="0"/>
        <w:spacing w:line="274" w:lineRule="auto"/>
        <w:ind w:left="120" w:right="100" w:firstLine="480"/>
        <w:jc w:val="both"/>
        <w:rPr>
          <w:rFonts w:ascii="宋体" w:hAnsi="宋体" w:cs="宋体"/>
          <w:sz w:val="24"/>
          <w:szCs w:val="24"/>
        </w:rPr>
      </w:pPr>
      <w:r>
        <w:rPr>
          <w:rFonts w:hint="eastAsia" w:ascii="宋体" w:hAnsi="宋体" w:cs="宋体"/>
          <w:sz w:val="24"/>
          <w:szCs w:val="24"/>
        </w:rPr>
        <w:t>质量情况；合同签订和履行情况。 社会信誉包括下列内容：国家以及省招投标方面的法律、法规、规范、规章、</w:t>
      </w:r>
    </w:p>
    <w:p>
      <w:pPr>
        <w:pStyle w:val="8"/>
        <w:kinsoku w:val="0"/>
        <w:overflowPunct w:val="0"/>
        <w:spacing w:line="274" w:lineRule="auto"/>
        <w:ind w:left="120" w:right="100" w:firstLine="480"/>
        <w:jc w:val="both"/>
        <w:rPr>
          <w:rFonts w:ascii="宋体" w:hAnsi="宋体" w:cs="宋体"/>
          <w:sz w:val="24"/>
          <w:szCs w:val="24"/>
        </w:rPr>
      </w:pPr>
      <w:r>
        <w:rPr>
          <w:rFonts w:hint="eastAsia" w:ascii="宋体" w:hAnsi="宋体" w:cs="宋体"/>
          <w:sz w:val="24"/>
          <w:szCs w:val="24"/>
        </w:rPr>
        <w:t>规范性文件的执行情况：代理的工程项目招投标监管部门备案、业主评价意见情 况履行依法缴纳税费情况；招投标过程中争议及投诉处理情况。</w:t>
      </w:r>
    </w:p>
    <w:p>
      <w:pPr>
        <w:pStyle w:val="8"/>
        <w:kinsoku w:val="0"/>
        <w:overflowPunct w:val="0"/>
        <w:spacing w:line="274" w:lineRule="auto"/>
        <w:ind w:left="120" w:right="100" w:firstLine="480"/>
        <w:jc w:val="both"/>
        <w:rPr>
          <w:rFonts w:ascii="宋体" w:hAnsi="宋体" w:cs="宋体"/>
          <w:sz w:val="24"/>
          <w:szCs w:val="24"/>
        </w:rPr>
      </w:pPr>
      <w:r>
        <w:rPr>
          <w:rFonts w:hint="eastAsia" w:ascii="宋体" w:hAnsi="宋体" w:cs="宋体"/>
          <w:sz w:val="24"/>
          <w:szCs w:val="24"/>
        </w:rPr>
        <w:t>招投标活动参与人员可对代理机构进行招标活动质量评价，从而记入代理机 构诚信档案。评价内容包括：所有应公开的招标信息是否公开；招标文件对投标 人是否有不合法规的要求；有无应和招标人的问题；代理工作是否全面体现公开、 公正、公平原则；与招标人、投标人、专家是否有无正当接触，发表不公平、不 公正或误导性言论；代理纪律执行是否严格等等。</w:t>
      </w:r>
    </w:p>
    <w:p>
      <w:pPr>
        <w:pStyle w:val="8"/>
        <w:kinsoku w:val="0"/>
        <w:overflowPunct w:val="0"/>
        <w:spacing w:line="274" w:lineRule="auto"/>
        <w:ind w:left="120" w:right="100" w:firstLine="480"/>
        <w:jc w:val="both"/>
        <w:rPr>
          <w:rFonts w:ascii="宋体" w:hAnsi="宋体" w:cs="宋体"/>
          <w:sz w:val="24"/>
          <w:szCs w:val="24"/>
        </w:rPr>
      </w:pPr>
      <w:r>
        <w:rPr>
          <w:rFonts w:hint="eastAsia" w:ascii="宋体" w:hAnsi="宋体" w:cs="宋体"/>
          <w:sz w:val="24"/>
          <w:szCs w:val="24"/>
        </w:rPr>
        <w:t>也可通过招标文件备案、业务满意度调查、跟踪反馈等措施对代理机构从业 人员、经营业绩、市场行为、代理质量状态等情况进行记录，将代理机构及其从 业人员的基本情况、业绩等一切良好行为和不良行为记录在案。</w:t>
      </w:r>
    </w:p>
    <w:p>
      <w:pPr>
        <w:kinsoku w:val="0"/>
        <w:overflowPunct w:val="0"/>
        <w:spacing w:before="6" w:line="280" w:lineRule="exact"/>
        <w:rPr>
          <w:sz w:val="28"/>
        </w:rPr>
      </w:pPr>
    </w:p>
    <w:p>
      <w:pPr>
        <w:pStyle w:val="26"/>
        <w:numPr>
          <w:ilvl w:val="2"/>
          <w:numId w:val="10"/>
        </w:numPr>
        <w:tabs>
          <w:tab w:val="left" w:pos="897"/>
        </w:tabs>
        <w:kinsoku w:val="0"/>
        <w:overflowPunct w:val="0"/>
        <w:ind w:left="897"/>
        <w:rPr>
          <w:rFonts w:hint="default"/>
        </w:rPr>
      </w:pPr>
      <w:r>
        <w:rPr>
          <w:spacing w:val="2"/>
        </w:rPr>
        <w:t>专</w:t>
      </w:r>
      <w:r>
        <w:t>家</w:t>
      </w:r>
      <w:r>
        <w:rPr>
          <w:spacing w:val="2"/>
        </w:rPr>
        <w:t>诚</w:t>
      </w:r>
      <w:r>
        <w:t>信</w:t>
      </w:r>
      <w:r>
        <w:rPr>
          <w:spacing w:val="2"/>
        </w:rPr>
        <w:t>档</w:t>
      </w:r>
      <w:r>
        <w:t>案</w:t>
      </w:r>
    </w:p>
    <w:p>
      <w:pPr>
        <w:kinsoku w:val="0"/>
        <w:overflowPunct w:val="0"/>
        <w:spacing w:before="5" w:line="150" w:lineRule="exact"/>
        <w:rPr>
          <w:sz w:val="15"/>
        </w:rPr>
      </w:pPr>
    </w:p>
    <w:p>
      <w:pPr>
        <w:pStyle w:val="8"/>
        <w:kinsoku w:val="0"/>
        <w:overflowPunct w:val="0"/>
        <w:spacing w:line="274" w:lineRule="auto"/>
        <w:ind w:left="120" w:right="100" w:firstLine="480"/>
        <w:jc w:val="both"/>
        <w:rPr>
          <w:rFonts w:ascii="宋体" w:hAnsi="宋体" w:cs="宋体"/>
          <w:sz w:val="24"/>
          <w:szCs w:val="24"/>
        </w:rPr>
      </w:pPr>
    </w:p>
    <w:p>
      <w:pPr>
        <w:pStyle w:val="8"/>
        <w:kinsoku w:val="0"/>
        <w:overflowPunct w:val="0"/>
        <w:spacing w:line="274" w:lineRule="auto"/>
        <w:ind w:left="120" w:right="100" w:firstLine="480"/>
        <w:jc w:val="both"/>
        <w:rPr>
          <w:rFonts w:ascii="宋体" w:hAnsi="宋体" w:cs="宋体"/>
          <w:sz w:val="24"/>
          <w:szCs w:val="24"/>
        </w:rPr>
      </w:pPr>
      <w:r>
        <w:rPr>
          <w:rFonts w:hint="eastAsia" w:ascii="宋体" w:hAnsi="宋体" w:cs="宋体"/>
          <w:sz w:val="24"/>
          <w:szCs w:val="24"/>
        </w:rPr>
        <w:t>每次评标活动结束后，由招标人、投标人、代理机构、评标监督部门对各评 标专家的业务能力、工作态度、职业道德、考勤情况等方面进行评价，并计入专家诚信档案。评价具体内容包括：对各个投标人是否一视同仁、客观公正评审每份标书（不受任何人影响或干扰，不打人情分、极端票、印象票）；是否严格遵 守评标纪律，不打电话，评审时认真摘记，不离开座位；有无私下或者单独与招 标人、投标人、代理机构人员接触；有无透露评标情况；专业水平能否满足评标 情况；对投标人的各种差错问题，是否及时发现提出。</w:t>
      </w:r>
    </w:p>
    <w:p>
      <w:pPr>
        <w:pStyle w:val="8"/>
        <w:kinsoku w:val="0"/>
        <w:overflowPunct w:val="0"/>
        <w:spacing w:line="274" w:lineRule="auto"/>
        <w:ind w:left="120" w:right="100" w:firstLine="480"/>
        <w:jc w:val="both"/>
        <w:rPr>
          <w:rFonts w:ascii="宋体" w:hAnsi="宋体" w:cs="宋体"/>
          <w:sz w:val="24"/>
          <w:szCs w:val="24"/>
        </w:rPr>
      </w:pPr>
      <w:r>
        <w:rPr>
          <w:rFonts w:hint="eastAsia" w:ascii="宋体" w:hAnsi="宋体" w:cs="宋体"/>
          <w:sz w:val="24"/>
          <w:szCs w:val="24"/>
        </w:rPr>
        <w:t>一旦与网上评标系统相关联，可通过定性、定量两个方面对专家的评标行为 进行分析。系统通过分析专家打分与评标结果的偏离度对专家评标质量进行定量 考核，通过分析废标判定中专家的意见与最终结果比较对专家评标质量进行定性 考接：通过分析评标专家在历次评标中的评判取向（偏严或偏松），分析具体某 一评标项目中是否存在人为操作的行为存在。如果通过数据挖掘，系统发现专家 在评标活动的不良行为，经过公共资源交易中心相关人员审查之后确认的不良行 为，计入专家诚信档案。</w:t>
      </w:r>
    </w:p>
    <w:p>
      <w:pPr>
        <w:pStyle w:val="8"/>
        <w:kinsoku w:val="0"/>
        <w:overflowPunct w:val="0"/>
        <w:spacing w:line="274" w:lineRule="auto"/>
        <w:ind w:left="120" w:right="100" w:firstLine="480"/>
        <w:jc w:val="both"/>
        <w:rPr>
          <w:rFonts w:ascii="宋体" w:hAnsi="宋体" w:cs="宋体"/>
          <w:sz w:val="24"/>
          <w:szCs w:val="24"/>
        </w:rPr>
      </w:pPr>
      <w:r>
        <w:rPr>
          <w:rFonts w:hint="eastAsia" w:ascii="宋体" w:hAnsi="宋体" w:cs="宋体"/>
          <w:sz w:val="24"/>
          <w:szCs w:val="24"/>
        </w:rPr>
        <w:t>对于诚信档案库的供应商、招标代理机构、专家的诚信记录，公共资源交易 中心、相关职能管理部门根据诚信管理办法做出相关考核、评价，可通过量化计 分方法进行诚信打分，对于低于设定分值，或者予以警告处分、或者限制其招投 标交易活动，同时诚信信息在公共资源交易服务外网门户进行公布，接收社会监 督。</w:t>
      </w:r>
    </w:p>
    <w:p>
      <w:pPr>
        <w:kinsoku w:val="0"/>
        <w:overflowPunct w:val="0"/>
        <w:spacing w:before="6" w:line="280" w:lineRule="exact"/>
        <w:rPr>
          <w:sz w:val="28"/>
        </w:rPr>
      </w:pPr>
    </w:p>
    <w:p>
      <w:pPr>
        <w:kinsoku w:val="0"/>
        <w:overflowPunct w:val="0"/>
        <w:spacing w:line="200" w:lineRule="exact"/>
        <w:ind w:left="0" w:firstLine="0"/>
        <w:rPr>
          <w:sz w:val="20"/>
        </w:rPr>
      </w:pPr>
    </w:p>
    <w:p>
      <w:pPr>
        <w:kinsoku w:val="0"/>
        <w:overflowPunct w:val="0"/>
        <w:ind w:left="117"/>
        <w:rPr>
          <w:rFonts w:ascii="微软雅黑" w:hAnsi="微软雅黑" w:eastAsia="微软雅黑"/>
          <w:sz w:val="30"/>
        </w:rPr>
      </w:pPr>
      <w:r>
        <w:rPr>
          <w:rFonts w:ascii="Calibri" w:hAnsi="Calibri" w:eastAsia="Calibri"/>
          <w:spacing w:val="-1"/>
          <w:sz w:val="30"/>
        </w:rPr>
        <w:t>4.2</w:t>
      </w:r>
      <w:r>
        <w:rPr>
          <w:rFonts w:ascii="Calibri" w:hAnsi="Calibri" w:eastAsia="Calibri"/>
          <w:sz w:val="30"/>
        </w:rPr>
        <w:t>.</w:t>
      </w:r>
      <w:r>
        <w:rPr>
          <w:rFonts w:ascii="Calibri" w:hAnsi="Calibri" w:eastAsia="Calibri"/>
          <w:spacing w:val="-1"/>
          <w:sz w:val="30"/>
        </w:rPr>
        <w:t>1</w:t>
      </w:r>
      <w:r>
        <w:rPr>
          <w:rFonts w:ascii="Calibri" w:hAnsi="Calibri" w:eastAsia="Calibri"/>
          <w:spacing w:val="1"/>
          <w:sz w:val="30"/>
        </w:rPr>
        <w:t>1</w:t>
      </w:r>
      <w:r>
        <w:rPr>
          <w:rFonts w:ascii="Calibri" w:hAnsi="Calibri" w:eastAsia="Calibri"/>
          <w:sz w:val="30"/>
        </w:rPr>
        <w:t>.</w:t>
      </w:r>
      <w:r>
        <w:rPr>
          <w:rFonts w:ascii="Calibri" w:hAnsi="Calibri" w:eastAsia="Calibri"/>
          <w:spacing w:val="-9"/>
          <w:sz w:val="30"/>
        </w:rPr>
        <w:t xml:space="preserve"> </w:t>
      </w:r>
      <w:r>
        <w:rPr>
          <w:rFonts w:hint="eastAsia" w:ascii="微软雅黑" w:hAnsi="微软雅黑" w:eastAsia="微软雅黑"/>
          <w:spacing w:val="2"/>
          <w:sz w:val="30"/>
        </w:rPr>
        <w:t>交</w:t>
      </w:r>
      <w:r>
        <w:rPr>
          <w:rFonts w:hint="eastAsia" w:ascii="微软雅黑" w:hAnsi="微软雅黑" w:eastAsia="微软雅黑"/>
          <w:sz w:val="30"/>
        </w:rPr>
        <w:t>易</w:t>
      </w:r>
      <w:r>
        <w:rPr>
          <w:rFonts w:hint="eastAsia" w:ascii="微软雅黑" w:hAnsi="微软雅黑" w:eastAsia="微软雅黑"/>
          <w:spacing w:val="2"/>
          <w:sz w:val="30"/>
        </w:rPr>
        <w:t>历</w:t>
      </w:r>
      <w:r>
        <w:rPr>
          <w:rFonts w:hint="eastAsia" w:ascii="微软雅黑" w:hAnsi="微软雅黑" w:eastAsia="微软雅黑"/>
          <w:sz w:val="30"/>
        </w:rPr>
        <w:t>史</w:t>
      </w:r>
      <w:r>
        <w:rPr>
          <w:rFonts w:hint="eastAsia" w:ascii="微软雅黑" w:hAnsi="微软雅黑" w:eastAsia="微软雅黑"/>
          <w:spacing w:val="2"/>
          <w:sz w:val="30"/>
        </w:rPr>
        <w:t>数</w:t>
      </w:r>
      <w:r>
        <w:rPr>
          <w:rFonts w:hint="eastAsia" w:ascii="微软雅黑" w:hAnsi="微软雅黑" w:eastAsia="微软雅黑"/>
          <w:sz w:val="30"/>
        </w:rPr>
        <w:t>据</w:t>
      </w:r>
      <w:r>
        <w:rPr>
          <w:rFonts w:hint="eastAsia" w:ascii="微软雅黑" w:hAnsi="微软雅黑" w:eastAsia="微软雅黑"/>
          <w:spacing w:val="2"/>
          <w:sz w:val="30"/>
        </w:rPr>
        <w:t>库</w:t>
      </w:r>
      <w:r>
        <w:rPr>
          <w:rFonts w:hint="eastAsia" w:ascii="微软雅黑" w:hAnsi="微软雅黑" w:eastAsia="微软雅黑"/>
          <w:sz w:val="30"/>
        </w:rPr>
        <w:t>的</w:t>
      </w:r>
      <w:r>
        <w:rPr>
          <w:rFonts w:hint="eastAsia" w:ascii="微软雅黑" w:hAnsi="微软雅黑" w:eastAsia="微软雅黑"/>
          <w:spacing w:val="2"/>
          <w:sz w:val="30"/>
        </w:rPr>
        <w:t>构</w:t>
      </w:r>
      <w:r>
        <w:rPr>
          <w:rFonts w:hint="eastAsia" w:ascii="微软雅黑" w:hAnsi="微软雅黑" w:eastAsia="微软雅黑"/>
          <w:sz w:val="30"/>
        </w:rPr>
        <w:t>建</w:t>
      </w:r>
    </w:p>
    <w:p>
      <w:pPr>
        <w:kinsoku w:val="0"/>
        <w:overflowPunct w:val="0"/>
        <w:spacing w:before="5" w:line="150" w:lineRule="exact"/>
        <w:rPr>
          <w:sz w:val="15"/>
        </w:rPr>
      </w:pPr>
    </w:p>
    <w:p>
      <w:pPr>
        <w:kinsoku w:val="0"/>
        <w:overflowPunct w:val="0"/>
        <w:spacing w:line="200" w:lineRule="exact"/>
        <w:rPr>
          <w:sz w:val="20"/>
        </w:rPr>
      </w:pPr>
    </w:p>
    <w:p>
      <w:pPr>
        <w:pStyle w:val="8"/>
        <w:kinsoku w:val="0"/>
        <w:overflowPunct w:val="0"/>
        <w:spacing w:line="274" w:lineRule="auto"/>
        <w:ind w:left="120" w:right="100" w:firstLine="480"/>
        <w:jc w:val="both"/>
        <w:rPr>
          <w:rFonts w:ascii="宋体" w:hAnsi="宋体" w:cs="宋体"/>
          <w:sz w:val="24"/>
          <w:szCs w:val="24"/>
        </w:rPr>
      </w:pPr>
      <w:r>
        <w:rPr>
          <w:rFonts w:hint="eastAsia" w:ascii="宋体" w:hAnsi="宋体" w:cs="宋体"/>
          <w:sz w:val="24"/>
          <w:szCs w:val="24"/>
        </w:rPr>
        <w:t>在一体化服务平台环境的支撑下，公共资源交易中心长期的运行过程中，将 会积累大量的交易数据（包括各中介代理机构的交易数据和网上交易的数据）， 非常有必要从这些交易数据中按照一定的规范格式提取出固定的格式，从而建立 一个交易历史数据库。该数据库的基本数据可包括：项目编号、项目名称、项目 专业领域、项目批准部门、采购方式、中介机构名称、采购人名称、中标人名称、 参与投标人名称、预算金额、中标金额、中标服务费、立项日期、采购日期、合 同签订日期、资金支付情况、项目执行情况、验收日期等等。</w:t>
      </w:r>
    </w:p>
    <w:p>
      <w:pPr>
        <w:pStyle w:val="8"/>
        <w:kinsoku w:val="0"/>
        <w:overflowPunct w:val="0"/>
        <w:spacing w:line="274" w:lineRule="auto"/>
        <w:ind w:left="120" w:right="100" w:firstLine="480"/>
        <w:jc w:val="both"/>
        <w:rPr>
          <w:rFonts w:ascii="宋体" w:hAnsi="宋体" w:cs="宋体"/>
          <w:sz w:val="24"/>
          <w:szCs w:val="24"/>
        </w:rPr>
      </w:pPr>
      <w:r>
        <w:rPr>
          <w:rFonts w:hint="eastAsia" w:ascii="宋体" w:hAnsi="宋体" w:cs="宋体"/>
          <w:sz w:val="24"/>
          <w:szCs w:val="24"/>
        </w:rPr>
        <w:t>该交易历史数据库的主要作用是可以从中分析和挖掘出大量有价值的信息， 为进一步规范公共资源交易及政府部门立项审批提供决策依据，并可对供应商的 交易行为进行长时间的跟踪分析，可有效减少串标围标现象的发生。</w:t>
      </w:r>
    </w:p>
    <w:p>
      <w:pPr>
        <w:pStyle w:val="8"/>
        <w:kinsoku w:val="0"/>
        <w:overflowPunct w:val="0"/>
        <w:spacing w:line="274" w:lineRule="auto"/>
        <w:ind w:left="120" w:right="100" w:firstLine="480"/>
        <w:jc w:val="both"/>
        <w:rPr>
          <w:rFonts w:ascii="宋体" w:hAnsi="宋体" w:cs="宋体"/>
          <w:sz w:val="24"/>
          <w:szCs w:val="24"/>
        </w:rPr>
      </w:pPr>
    </w:p>
    <w:p>
      <w:pPr>
        <w:pStyle w:val="8"/>
        <w:kinsoku w:val="0"/>
        <w:overflowPunct w:val="0"/>
        <w:spacing w:line="274" w:lineRule="auto"/>
        <w:ind w:left="120" w:right="100" w:firstLine="480"/>
        <w:jc w:val="both"/>
        <w:rPr>
          <w:rFonts w:ascii="宋体" w:hAnsi="宋体" w:cs="宋体"/>
          <w:sz w:val="24"/>
          <w:szCs w:val="24"/>
        </w:rPr>
      </w:pPr>
      <w:r>
        <w:rPr>
          <w:rFonts w:hint="eastAsia" w:ascii="宋体" w:hAnsi="宋体" w:cs="宋体"/>
          <w:sz w:val="24"/>
          <w:szCs w:val="24"/>
        </w:rPr>
        <w:t>综合参数；一体化服务平台提供各类商品采购数量比较，或者某一商品在不同时</w:t>
      </w:r>
    </w:p>
    <w:p>
      <w:pPr>
        <w:pStyle w:val="8"/>
        <w:kinsoku w:val="0"/>
        <w:overflowPunct w:val="0"/>
        <w:spacing w:line="274" w:lineRule="auto"/>
        <w:ind w:left="120" w:right="100" w:firstLine="480"/>
        <w:jc w:val="both"/>
        <w:rPr>
          <w:rFonts w:ascii="宋体" w:hAnsi="宋体" w:cs="宋体"/>
          <w:sz w:val="24"/>
          <w:szCs w:val="24"/>
        </w:rPr>
      </w:pPr>
      <w:r>
        <w:rPr>
          <w:rFonts w:hint="eastAsia" w:ascii="宋体" w:hAnsi="宋体" w:cs="宋体"/>
          <w:sz w:val="24"/>
          <w:szCs w:val="24"/>
        </w:rPr>
        <w:t>间段内的采购数量比较，或者同一商品不同供应商给出的报价比较、质量比较、 诚信级别比较、综合比较等功能。</w:t>
      </w:r>
    </w:p>
    <w:p>
      <w:pPr>
        <w:pStyle w:val="8"/>
        <w:kinsoku w:val="0"/>
        <w:overflowPunct w:val="0"/>
        <w:spacing w:line="274" w:lineRule="auto"/>
        <w:ind w:left="120" w:right="100" w:firstLine="480"/>
        <w:jc w:val="both"/>
        <w:rPr>
          <w:rFonts w:ascii="宋体" w:hAnsi="宋体" w:cs="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  绩效评价 绩效评价是面向招标监督机构和招标代理机购的重要决策依据。采集用户，</w:t>
      </w:r>
    </w:p>
    <w:p>
      <w:pPr>
        <w:pStyle w:val="8"/>
        <w:kinsoku w:val="0"/>
        <w:overflowPunct w:val="0"/>
        <w:spacing w:line="274" w:lineRule="auto"/>
        <w:ind w:left="120" w:right="100" w:firstLine="480"/>
        <w:jc w:val="both"/>
        <w:rPr>
          <w:rFonts w:ascii="宋体" w:hAnsi="宋体" w:cs="宋体"/>
          <w:sz w:val="24"/>
          <w:szCs w:val="24"/>
        </w:rPr>
      </w:pPr>
      <w:r>
        <w:rPr>
          <w:rFonts w:hint="eastAsia" w:ascii="宋体" w:hAnsi="宋体" w:cs="宋体"/>
          <w:sz w:val="24"/>
          <w:szCs w:val="24"/>
        </w:rPr>
        <w:t>包括招标人和投杯人，在成绩（提高业务量、提高单位品牌知名度、提高单位文 化凝聚力）和效果（时间节约、服务质量提高与成本节约、提高单位服务能力、 提高资源利用程度、提高业务客户覆盖率）方面的表现数据，定期计算各类用户 及整体的绩效发挥水平。同时，通过分析，对投标人、代理机构、专家等通过绩 效评价，得出评价结果不合格的数据，这些数据可以作为供应商资格终止的依据。</w:t>
      </w:r>
    </w:p>
    <w:p>
      <w:pPr>
        <w:pStyle w:val="8"/>
        <w:kinsoku w:val="0"/>
        <w:overflowPunct w:val="0"/>
        <w:spacing w:line="274" w:lineRule="auto"/>
        <w:ind w:left="120" w:right="100" w:firstLine="480"/>
        <w:jc w:val="both"/>
        <w:rPr>
          <w:rFonts w:ascii="宋体" w:hAnsi="宋体" w:cs="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  趋势分析 趋势分析是面向领导层的另一种重要分析依据。提供通过选取管理层和领导</w:t>
      </w:r>
    </w:p>
    <w:p>
      <w:pPr>
        <w:pStyle w:val="8"/>
        <w:kinsoku w:val="0"/>
        <w:overflowPunct w:val="0"/>
        <w:spacing w:line="274" w:lineRule="auto"/>
        <w:ind w:left="120" w:right="100" w:firstLine="480"/>
        <w:jc w:val="both"/>
        <w:rPr>
          <w:rFonts w:ascii="宋体" w:hAnsi="宋体" w:cs="宋体"/>
          <w:sz w:val="24"/>
          <w:szCs w:val="24"/>
        </w:rPr>
      </w:pPr>
      <w:r>
        <w:rPr>
          <w:rFonts w:hint="eastAsia" w:ascii="宋体" w:hAnsi="宋体" w:cs="宋体"/>
          <w:sz w:val="24"/>
          <w:szCs w:val="24"/>
        </w:rPr>
        <w:t>层关心的特定领域或宏观综合数据，在时间轴上进行趋势分析，如各类价格指数 走势、交易量走势、诚信走势等。</w:t>
      </w:r>
    </w:p>
    <w:p>
      <w:pPr>
        <w:pStyle w:val="8"/>
        <w:kinsoku w:val="0"/>
        <w:overflowPunct w:val="0"/>
        <w:spacing w:line="274" w:lineRule="auto"/>
        <w:ind w:left="120" w:right="100" w:firstLine="480"/>
        <w:jc w:val="both"/>
        <w:rPr>
          <w:rFonts w:ascii="宋体" w:hAnsi="宋体" w:cs="宋体"/>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  项目统计 针对招标采购活动，主要统计招标采购活动的执行情况、中止项目情况一览</w:t>
      </w:r>
    </w:p>
    <w:p>
      <w:pPr>
        <w:pStyle w:val="8"/>
        <w:kinsoku w:val="0"/>
        <w:overflowPunct w:val="0"/>
        <w:spacing w:line="274" w:lineRule="auto"/>
        <w:ind w:left="120" w:right="100" w:firstLine="480"/>
        <w:jc w:val="both"/>
        <w:rPr>
          <w:rFonts w:ascii="宋体" w:hAnsi="宋体" w:cs="宋体"/>
          <w:sz w:val="24"/>
          <w:szCs w:val="24"/>
        </w:rPr>
      </w:pPr>
      <w:r>
        <w:rPr>
          <w:rFonts w:hint="eastAsia" w:ascii="宋体" w:hAnsi="宋体" w:cs="宋体"/>
          <w:sz w:val="24"/>
          <w:szCs w:val="24"/>
        </w:rPr>
        <w:t>表、投标人征信情况表动态制作报表，并生成统计报表数据，将提供多种展现形 式。例如以文字表单的形式展现，以柱状图、线状图、饼图等图形化形式展现等。</w:t>
      </w:r>
    </w:p>
    <w:p>
      <w:pPr>
        <w:pStyle w:val="8"/>
        <w:kinsoku w:val="0"/>
        <w:overflowPunct w:val="0"/>
        <w:spacing w:line="274" w:lineRule="auto"/>
        <w:ind w:left="120" w:right="100" w:firstLine="480"/>
        <w:jc w:val="both"/>
        <w:rPr>
          <w:rFonts w:ascii="宋体" w:hAnsi="宋体" w:cs="宋体"/>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  潜在不正当交易情况的挖掘 研究特定算法，对交易历史数据中招标人、投标人、评标专家，中介代理机</w:t>
      </w:r>
    </w:p>
    <w:p>
      <w:pPr>
        <w:pStyle w:val="8"/>
        <w:kinsoku w:val="0"/>
        <w:overflowPunct w:val="0"/>
        <w:spacing w:line="274" w:lineRule="auto"/>
        <w:ind w:left="120" w:right="100" w:firstLine="480"/>
        <w:jc w:val="both"/>
        <w:rPr>
          <w:rFonts w:ascii="宋体" w:hAnsi="宋体" w:cs="宋体"/>
          <w:sz w:val="24"/>
          <w:szCs w:val="24"/>
        </w:rPr>
      </w:pPr>
      <w:r>
        <w:rPr>
          <w:rFonts w:hint="eastAsia" w:ascii="宋体" w:hAnsi="宋体" w:cs="宋体"/>
          <w:sz w:val="24"/>
          <w:szCs w:val="24"/>
        </w:rPr>
        <w:t>构大量交易行为的数据挖掘，找出其中潜在的不正当交易，提供给监管部门参考。 如，某个投标人中标时，同时参与的投标人的情况，他们之间是否存在特定的关 模式（如潜在的陪标、围标现象）；或者，某采购人的采购预算、实际中标金额、 中标人之间是否存在某种特定的模式等等。</w:t>
      </w:r>
    </w:p>
    <w:p>
      <w:pPr>
        <w:pStyle w:val="26"/>
        <w:numPr>
          <w:ilvl w:val="2"/>
          <w:numId w:val="11"/>
        </w:numPr>
        <w:tabs>
          <w:tab w:val="left" w:pos="897"/>
        </w:tabs>
        <w:kinsoku w:val="0"/>
        <w:overflowPunct w:val="0"/>
        <w:ind w:left="897"/>
        <w:rPr>
          <w:rFonts w:hint="default"/>
        </w:rPr>
      </w:pPr>
      <w:r>
        <w:rPr>
          <w:spacing w:val="2"/>
        </w:rPr>
        <w:t>备</w:t>
      </w:r>
      <w:r>
        <w:t>份</w:t>
      </w:r>
      <w:r>
        <w:rPr>
          <w:spacing w:val="2"/>
        </w:rPr>
        <w:t>系</w:t>
      </w:r>
      <w:r>
        <w:t>统</w:t>
      </w:r>
    </w:p>
    <w:p>
      <w:pPr>
        <w:pStyle w:val="8"/>
        <w:kinsoku w:val="0"/>
        <w:overflowPunct w:val="0"/>
        <w:spacing w:line="274" w:lineRule="auto"/>
        <w:ind w:left="120" w:right="100" w:firstLine="480"/>
        <w:jc w:val="both"/>
        <w:rPr>
          <w:rFonts w:ascii="宋体" w:hAnsi="宋体" w:cs="宋体"/>
          <w:sz w:val="24"/>
          <w:szCs w:val="24"/>
        </w:rPr>
      </w:pPr>
    </w:p>
    <w:p>
      <w:pPr>
        <w:pStyle w:val="8"/>
        <w:kinsoku w:val="0"/>
        <w:overflowPunct w:val="0"/>
        <w:spacing w:line="274" w:lineRule="auto"/>
        <w:ind w:left="120" w:right="100" w:firstLine="480"/>
        <w:jc w:val="both"/>
        <w:rPr>
          <w:rFonts w:ascii="宋体" w:hAnsi="宋体" w:cs="宋体"/>
          <w:sz w:val="24"/>
          <w:szCs w:val="24"/>
        </w:rPr>
      </w:pPr>
      <w:r>
        <w:rPr>
          <w:rFonts w:hint="eastAsia" w:ascii="宋体" w:hAnsi="宋体" w:cs="宋体"/>
          <w:sz w:val="24"/>
          <w:szCs w:val="24"/>
        </w:rPr>
        <w:t>目前，所设计系统已实现基于 SAN 的备份结构，为了保证新加入的业务系统 数据安全性，我们对新加入的业务系统采用基于 SAN 的备份结构，在原有的备份 系统上，增加小型机服务器上的 SAN 备份模块，用于实现各交易系统的数据在线 备份。</w:t>
      </w:r>
    </w:p>
    <w:p>
      <w:pPr>
        <w:kinsoku w:val="0"/>
        <w:overflowPunct w:val="0"/>
        <w:spacing w:line="200" w:lineRule="exact"/>
        <w:rPr>
          <w:sz w:val="20"/>
        </w:rPr>
      </w:pPr>
    </w:p>
    <w:sectPr>
      <w:pgSz w:w="11900" w:h="16840"/>
      <w:pgMar w:top="1580" w:right="1600" w:bottom="1380" w:left="1680" w:header="0" w:footer="1199"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A00002EF" w:usb1="4000207B" w:usb2="00000000" w:usb3="00000000" w:csb0="2000009F" w:csb1="00000000"/>
  </w:font>
  <w:font w:name="Cambria">
    <w:panose1 w:val="02040503050406030204"/>
    <w:charset w:val="00"/>
    <w:family w:val="auto"/>
    <w:pitch w:val="default"/>
    <w:sig w:usb0="A00002EF" w:usb1="4000004B" w:usb2="00000000" w:usb3="00000000" w:csb0="2000009F" w:csb1="00000000"/>
  </w:font>
  <w:font w:name="Tahoma">
    <w:panose1 w:val="020B0604030504040204"/>
    <w:charset w:val="00"/>
    <w:family w:val="auto"/>
    <w:pitch w:val="default"/>
    <w:sig w:usb0="61007A87" w:usb1="80000000" w:usb2="00000008" w:usb3="00000000" w:csb0="200101FF" w:csb1="20280000"/>
  </w:font>
  <w:font w:name="微软雅黑">
    <w:panose1 w:val="020B0503020204020204"/>
    <w:charset w:val="86"/>
    <w:family w:val="auto"/>
    <w:pitch w:val="default"/>
    <w:sig w:usb0="80000287" w:usb1="280F3C52" w:usb2="00000016" w:usb3="00000000" w:csb0="0004001F" w:csb1="00000000"/>
  </w:font>
  <w:font w:name="lucida Grande">
    <w:altName w:val="HakusyuGyosyo_kk"/>
    <w:panose1 w:val="00000000000000000000"/>
    <w:charset w:val="00"/>
    <w:family w:val="auto"/>
    <w:pitch w:val="default"/>
    <w:sig w:usb0="00000003" w:usb1="00000000" w:usb2="00000000" w:usb3="00000000" w:csb0="00000001" w:csb1="00000000"/>
  </w:font>
  <w:font w:name="HakusyuGyosyo_kk">
    <w:panose1 w:val="02000609000000000000"/>
    <w:charset w:val="80"/>
    <w:family w:val="auto"/>
    <w:pitch w:val="default"/>
    <w:sig w:usb0="A00002BF" w:usb1="68C7FCFB" w:usb2="00000010"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32">
    <w:nsid w:val="00000408"/>
    <w:multiLevelType w:val="multilevel"/>
    <w:tmpl w:val="00000408"/>
    <w:lvl w:ilvl="0" w:tentative="1">
      <w:start w:val="3"/>
      <w:numFmt w:val="decimal"/>
      <w:lvlText w:val="%1"/>
      <w:lvlJc w:val="left"/>
      <w:pPr>
        <w:ind w:hanging="780"/>
      </w:pPr>
      <w:rPr>
        <w:rFonts w:hint="default"/>
        <w:u w:val="none"/>
      </w:rPr>
    </w:lvl>
    <w:lvl w:ilvl="1" w:tentative="1">
      <w:start w:val="2"/>
      <w:numFmt w:val="decimal"/>
      <w:lvlText w:val="%1.%2"/>
      <w:lvlJc w:val="left"/>
      <w:pPr>
        <w:ind w:hanging="780"/>
      </w:pPr>
      <w:rPr>
        <w:rFonts w:hint="default"/>
        <w:u w:val="none"/>
      </w:rPr>
    </w:lvl>
    <w:lvl w:ilvl="2" w:tentative="1">
      <w:start w:val="4"/>
      <w:numFmt w:val="decimal"/>
      <w:lvlText w:val="%1.%2.%3."/>
      <w:lvlJc w:val="left"/>
      <w:pPr>
        <w:ind w:hanging="780"/>
      </w:pPr>
      <w:rPr>
        <w:rFonts w:hint="default" w:ascii="Calibri" w:hAnsi="Calibri" w:eastAsia="Calibri"/>
        <w:spacing w:val="-1"/>
        <w:w w:val="99"/>
        <w:sz w:val="30"/>
        <w:u w:val="none"/>
      </w:rPr>
    </w:lvl>
    <w:lvl w:ilvl="3" w:tentative="1">
      <w:start w:val="1"/>
      <w:numFmt w:val="bullet"/>
      <w:lvlText w:val="•"/>
      <w:lvlJc w:val="left"/>
      <w:rPr>
        <w:rFonts w:hint="default"/>
        <w:u w:val="none"/>
      </w:rPr>
    </w:lvl>
    <w:lvl w:ilvl="4" w:tentative="1">
      <w:start w:val="1"/>
      <w:numFmt w:val="bullet"/>
      <w:lvlText w:val="•"/>
      <w:lvlJc w:val="left"/>
      <w:rPr>
        <w:rFonts w:hint="default"/>
        <w:u w:val="none"/>
      </w:rPr>
    </w:lvl>
    <w:lvl w:ilvl="5" w:tentative="1">
      <w:start w:val="1"/>
      <w:numFmt w:val="bullet"/>
      <w:lvlText w:val="•"/>
      <w:lvlJc w:val="left"/>
      <w:rPr>
        <w:rFonts w:hint="default"/>
        <w:u w:val="none"/>
      </w:rPr>
    </w:lvl>
    <w:lvl w:ilvl="6" w:tentative="1">
      <w:start w:val="1"/>
      <w:numFmt w:val="bullet"/>
      <w:lvlText w:val="•"/>
      <w:lvlJc w:val="left"/>
      <w:rPr>
        <w:rFonts w:hint="default"/>
        <w:u w:val="none"/>
      </w:rPr>
    </w:lvl>
    <w:lvl w:ilvl="7" w:tentative="1">
      <w:start w:val="1"/>
      <w:numFmt w:val="bullet"/>
      <w:lvlText w:val="•"/>
      <w:lvlJc w:val="left"/>
      <w:rPr>
        <w:rFonts w:hint="default"/>
        <w:u w:val="none"/>
      </w:rPr>
    </w:lvl>
    <w:lvl w:ilvl="8" w:tentative="1">
      <w:start w:val="1"/>
      <w:numFmt w:val="bullet"/>
      <w:lvlText w:val="•"/>
      <w:lvlJc w:val="left"/>
      <w:rPr>
        <w:rFonts w:hint="default"/>
        <w:u w:val="none"/>
      </w:rPr>
    </w:lvl>
  </w:abstractNum>
  <w:abstractNum w:abstractNumId="1033">
    <w:nsid w:val="00000409"/>
    <w:multiLevelType w:val="multilevel"/>
    <w:tmpl w:val="00000409"/>
    <w:lvl w:ilvl="0" w:tentative="1">
      <w:start w:val="3"/>
      <w:numFmt w:val="decimal"/>
      <w:lvlText w:val="%1"/>
      <w:lvlJc w:val="left"/>
      <w:pPr>
        <w:ind w:hanging="780"/>
      </w:pPr>
      <w:rPr>
        <w:rFonts w:hint="default"/>
        <w:u w:val="none"/>
      </w:rPr>
    </w:lvl>
    <w:lvl w:ilvl="1" w:tentative="1">
      <w:start w:val="3"/>
      <w:numFmt w:val="decimal"/>
      <w:lvlText w:val="%1.%2"/>
      <w:lvlJc w:val="left"/>
      <w:pPr>
        <w:ind w:hanging="780"/>
      </w:pPr>
      <w:rPr>
        <w:rFonts w:hint="default"/>
        <w:u w:val="none"/>
      </w:rPr>
    </w:lvl>
    <w:lvl w:ilvl="2" w:tentative="1">
      <w:start w:val="1"/>
      <w:numFmt w:val="decimal"/>
      <w:lvlText w:val="%1.%2.%3."/>
      <w:lvlJc w:val="left"/>
      <w:pPr>
        <w:ind w:hanging="780"/>
      </w:pPr>
      <w:rPr>
        <w:rFonts w:hint="default" w:ascii="Calibri" w:hAnsi="Calibri" w:eastAsia="Calibri"/>
        <w:spacing w:val="-1"/>
        <w:w w:val="99"/>
        <w:sz w:val="30"/>
        <w:u w:val="none"/>
      </w:rPr>
    </w:lvl>
    <w:lvl w:ilvl="3" w:tentative="1">
      <w:start w:val="1"/>
      <w:numFmt w:val="decimal"/>
      <w:lvlText w:val="%1.%2.%3.%4."/>
      <w:lvlJc w:val="left"/>
      <w:pPr>
        <w:ind w:hanging="1073"/>
      </w:pPr>
      <w:rPr>
        <w:rFonts w:hint="default" w:ascii="Cambria" w:hAnsi="Cambria" w:eastAsia="Cambria"/>
        <w:spacing w:val="-1"/>
        <w:w w:val="106"/>
        <w:sz w:val="30"/>
        <w:u w:val="none"/>
      </w:rPr>
    </w:lvl>
    <w:lvl w:ilvl="4" w:tentative="1">
      <w:start w:val="1"/>
      <w:numFmt w:val="bullet"/>
      <w:lvlText w:val="•"/>
      <w:lvlJc w:val="left"/>
      <w:rPr>
        <w:rFonts w:hint="default"/>
        <w:u w:val="none"/>
      </w:rPr>
    </w:lvl>
    <w:lvl w:ilvl="5" w:tentative="1">
      <w:start w:val="1"/>
      <w:numFmt w:val="bullet"/>
      <w:lvlText w:val="•"/>
      <w:lvlJc w:val="left"/>
      <w:rPr>
        <w:rFonts w:hint="default"/>
        <w:u w:val="none"/>
      </w:rPr>
    </w:lvl>
    <w:lvl w:ilvl="6" w:tentative="1">
      <w:start w:val="1"/>
      <w:numFmt w:val="bullet"/>
      <w:lvlText w:val="•"/>
      <w:lvlJc w:val="left"/>
      <w:rPr>
        <w:rFonts w:hint="default"/>
        <w:u w:val="none"/>
      </w:rPr>
    </w:lvl>
    <w:lvl w:ilvl="7" w:tentative="1">
      <w:start w:val="1"/>
      <w:numFmt w:val="bullet"/>
      <w:lvlText w:val="•"/>
      <w:lvlJc w:val="left"/>
      <w:rPr>
        <w:rFonts w:hint="default"/>
        <w:u w:val="none"/>
      </w:rPr>
    </w:lvl>
    <w:lvl w:ilvl="8" w:tentative="1">
      <w:start w:val="1"/>
      <w:numFmt w:val="bullet"/>
      <w:lvlText w:val="•"/>
      <w:lvlJc w:val="left"/>
      <w:rPr>
        <w:rFonts w:hint="default"/>
        <w:u w:val="none"/>
      </w:rPr>
    </w:lvl>
  </w:abstractNum>
  <w:abstractNum w:abstractNumId="1034">
    <w:nsid w:val="0000040A"/>
    <w:multiLevelType w:val="multilevel"/>
    <w:tmpl w:val="0000040A"/>
    <w:lvl w:ilvl="0" w:tentative="1">
      <w:start w:val="3"/>
      <w:numFmt w:val="decimal"/>
      <w:lvlText w:val="%1"/>
      <w:lvlJc w:val="left"/>
      <w:pPr>
        <w:ind w:hanging="1073"/>
      </w:pPr>
      <w:rPr>
        <w:rFonts w:hint="default"/>
        <w:u w:val="none"/>
      </w:rPr>
    </w:lvl>
    <w:lvl w:ilvl="1" w:tentative="1">
      <w:start w:val="3"/>
      <w:numFmt w:val="decimal"/>
      <w:lvlText w:val="%1.%2"/>
      <w:lvlJc w:val="left"/>
      <w:pPr>
        <w:ind w:hanging="1073"/>
      </w:pPr>
      <w:rPr>
        <w:rFonts w:hint="default"/>
        <w:u w:val="none"/>
      </w:rPr>
    </w:lvl>
    <w:lvl w:ilvl="2" w:tentative="1">
      <w:start w:val="5"/>
      <w:numFmt w:val="decimal"/>
      <w:lvlText w:val="%1.%2.%3"/>
      <w:lvlJc w:val="left"/>
      <w:pPr>
        <w:ind w:hanging="1073"/>
      </w:pPr>
      <w:rPr>
        <w:rFonts w:hint="default"/>
        <w:u w:val="none"/>
      </w:rPr>
    </w:lvl>
    <w:lvl w:ilvl="3" w:tentative="1">
      <w:start w:val="8"/>
      <w:numFmt w:val="decimal"/>
      <w:lvlText w:val="%1.%2.%3.%4."/>
      <w:lvlJc w:val="left"/>
      <w:pPr>
        <w:ind w:hanging="1073"/>
      </w:pPr>
      <w:rPr>
        <w:rFonts w:hint="default" w:ascii="Cambria" w:hAnsi="Cambria" w:eastAsia="Cambria"/>
        <w:spacing w:val="-1"/>
        <w:w w:val="106"/>
        <w:sz w:val="30"/>
        <w:u w:val="none"/>
      </w:rPr>
    </w:lvl>
    <w:lvl w:ilvl="4" w:tentative="1">
      <w:start w:val="1"/>
      <w:numFmt w:val="decimal"/>
      <w:lvlText w:val=""/>
      <w:lvlJc w:val="left"/>
      <w:pPr>
        <w:ind w:hanging="1320"/>
      </w:pPr>
      <w:rPr>
        <w:rFonts w:hint="default" w:ascii="Cambria" w:hAnsi="Cambria" w:eastAsia="Cambria"/>
        <w:spacing w:val="-1"/>
        <w:w w:val="106"/>
        <w:sz w:val="30"/>
        <w:u w:val="none"/>
      </w:rPr>
    </w:lvl>
    <w:lvl w:ilvl="5" w:tentative="1">
      <w:start w:val="1"/>
      <w:numFmt w:val="bullet"/>
      <w:lvlText w:val="•"/>
      <w:lvlJc w:val="left"/>
      <w:rPr>
        <w:rFonts w:hint="default"/>
        <w:u w:val="none"/>
      </w:rPr>
    </w:lvl>
    <w:lvl w:ilvl="6" w:tentative="1">
      <w:start w:val="1"/>
      <w:numFmt w:val="bullet"/>
      <w:lvlText w:val="•"/>
      <w:lvlJc w:val="left"/>
      <w:rPr>
        <w:rFonts w:hint="default"/>
        <w:u w:val="none"/>
      </w:rPr>
    </w:lvl>
    <w:lvl w:ilvl="7" w:tentative="1">
      <w:start w:val="1"/>
      <w:numFmt w:val="bullet"/>
      <w:lvlText w:val="•"/>
      <w:lvlJc w:val="left"/>
      <w:rPr>
        <w:rFonts w:hint="default"/>
        <w:u w:val="none"/>
      </w:rPr>
    </w:lvl>
    <w:lvl w:ilvl="8" w:tentative="1">
      <w:start w:val="1"/>
      <w:numFmt w:val="bullet"/>
      <w:lvlText w:val="•"/>
      <w:lvlJc w:val="left"/>
      <w:rPr>
        <w:rFonts w:hint="default"/>
        <w:u w:val="none"/>
      </w:rPr>
    </w:lvl>
  </w:abstractNum>
  <w:abstractNum w:abstractNumId="1035">
    <w:nsid w:val="0000040B"/>
    <w:multiLevelType w:val="multilevel"/>
    <w:tmpl w:val="0000040B"/>
    <w:lvl w:ilvl="0" w:tentative="1">
      <w:start w:val="3"/>
      <w:numFmt w:val="decimal"/>
      <w:lvlText w:val="%1"/>
      <w:lvlJc w:val="left"/>
      <w:pPr>
        <w:ind w:hanging="1073"/>
      </w:pPr>
      <w:rPr>
        <w:rFonts w:hint="default"/>
        <w:u w:val="none"/>
      </w:rPr>
    </w:lvl>
    <w:lvl w:ilvl="1" w:tentative="1">
      <w:start w:val="3"/>
      <w:numFmt w:val="decimal"/>
      <w:lvlText w:val="%1.%2"/>
      <w:lvlJc w:val="left"/>
      <w:pPr>
        <w:ind w:hanging="1073"/>
      </w:pPr>
      <w:rPr>
        <w:rFonts w:hint="default"/>
        <w:u w:val="none"/>
      </w:rPr>
    </w:lvl>
    <w:lvl w:ilvl="2" w:tentative="1">
      <w:start w:val="5"/>
      <w:numFmt w:val="decimal"/>
      <w:lvlText w:val="%1.%2.%3"/>
      <w:lvlJc w:val="left"/>
      <w:pPr>
        <w:ind w:hanging="1073"/>
      </w:pPr>
      <w:rPr>
        <w:rFonts w:hint="default"/>
        <w:u w:val="none"/>
      </w:rPr>
    </w:lvl>
    <w:lvl w:ilvl="3" w:tentative="1">
      <w:start w:val="9"/>
      <w:numFmt w:val="decimal"/>
      <w:lvlText w:val="%1.%2.%3.%4."/>
      <w:lvlJc w:val="left"/>
      <w:pPr>
        <w:ind w:hanging="1073"/>
      </w:pPr>
      <w:rPr>
        <w:rFonts w:hint="default" w:ascii="Cambria" w:hAnsi="Cambria" w:eastAsia="Cambria"/>
        <w:spacing w:val="-1"/>
        <w:w w:val="106"/>
        <w:sz w:val="30"/>
        <w:u w:val="none"/>
      </w:rPr>
    </w:lvl>
    <w:lvl w:ilvl="4" w:tentative="1">
      <w:start w:val="1"/>
      <w:numFmt w:val="decimal"/>
      <w:lvlText w:val=""/>
      <w:lvlJc w:val="left"/>
      <w:pPr>
        <w:ind w:hanging="1320"/>
      </w:pPr>
      <w:rPr>
        <w:rFonts w:hint="default" w:ascii="Cambria" w:hAnsi="Cambria" w:eastAsia="Cambria"/>
        <w:spacing w:val="-1"/>
        <w:w w:val="106"/>
        <w:sz w:val="30"/>
        <w:u w:val="none"/>
      </w:rPr>
    </w:lvl>
    <w:lvl w:ilvl="5" w:tentative="1">
      <w:start w:val="1"/>
      <w:numFmt w:val="bullet"/>
      <w:lvlText w:val="•"/>
      <w:lvlJc w:val="left"/>
      <w:rPr>
        <w:rFonts w:hint="default"/>
        <w:u w:val="none"/>
      </w:rPr>
    </w:lvl>
    <w:lvl w:ilvl="6" w:tentative="1">
      <w:start w:val="1"/>
      <w:numFmt w:val="bullet"/>
      <w:lvlText w:val="•"/>
      <w:lvlJc w:val="left"/>
      <w:rPr>
        <w:rFonts w:hint="default"/>
        <w:u w:val="none"/>
      </w:rPr>
    </w:lvl>
    <w:lvl w:ilvl="7" w:tentative="1">
      <w:start w:val="1"/>
      <w:numFmt w:val="bullet"/>
      <w:lvlText w:val="•"/>
      <w:lvlJc w:val="left"/>
      <w:rPr>
        <w:rFonts w:hint="default"/>
        <w:u w:val="none"/>
      </w:rPr>
    </w:lvl>
    <w:lvl w:ilvl="8" w:tentative="1">
      <w:start w:val="1"/>
      <w:numFmt w:val="bullet"/>
      <w:lvlText w:val="•"/>
      <w:lvlJc w:val="left"/>
      <w:rPr>
        <w:rFonts w:hint="default"/>
        <w:u w:val="none"/>
      </w:rPr>
    </w:lvl>
  </w:abstractNum>
  <w:abstractNum w:abstractNumId="1039">
    <w:nsid w:val="0000040F"/>
    <w:multiLevelType w:val="multilevel"/>
    <w:tmpl w:val="0000040F"/>
    <w:lvl w:ilvl="0" w:tentative="1">
      <w:start w:val="4"/>
      <w:numFmt w:val="decimal"/>
      <w:lvlText w:val="%1"/>
      <w:lvlJc w:val="left"/>
      <w:pPr>
        <w:ind w:hanging="780"/>
      </w:pPr>
      <w:rPr>
        <w:rFonts w:hint="default"/>
        <w:u w:val="none"/>
      </w:rPr>
    </w:lvl>
    <w:lvl w:ilvl="1" w:tentative="1">
      <w:start w:val="2"/>
      <w:numFmt w:val="decimal"/>
      <w:lvlText w:val="%1.%2"/>
      <w:lvlJc w:val="left"/>
      <w:pPr>
        <w:ind w:hanging="780"/>
      </w:pPr>
      <w:rPr>
        <w:rFonts w:hint="default"/>
        <w:u w:val="none"/>
      </w:rPr>
    </w:lvl>
    <w:lvl w:ilvl="2" w:tentative="1">
      <w:start w:val="8"/>
      <w:numFmt w:val="decimal"/>
      <w:lvlText w:val="%1.%2.%3."/>
      <w:lvlJc w:val="left"/>
      <w:pPr>
        <w:ind w:hanging="780"/>
      </w:pPr>
      <w:rPr>
        <w:rFonts w:hint="default" w:ascii="Calibri" w:hAnsi="Calibri" w:eastAsia="Calibri"/>
        <w:spacing w:val="-1"/>
        <w:w w:val="99"/>
        <w:sz w:val="30"/>
        <w:u w:val="none"/>
      </w:rPr>
    </w:lvl>
    <w:lvl w:ilvl="3" w:tentative="1">
      <w:start w:val="1"/>
      <w:numFmt w:val="bullet"/>
      <w:lvlText w:val="•"/>
      <w:lvlJc w:val="left"/>
      <w:rPr>
        <w:rFonts w:hint="default"/>
        <w:u w:val="none"/>
      </w:rPr>
    </w:lvl>
    <w:lvl w:ilvl="4" w:tentative="1">
      <w:start w:val="1"/>
      <w:numFmt w:val="bullet"/>
      <w:lvlText w:val="•"/>
      <w:lvlJc w:val="left"/>
      <w:rPr>
        <w:rFonts w:hint="default"/>
        <w:u w:val="none"/>
      </w:rPr>
    </w:lvl>
    <w:lvl w:ilvl="5" w:tentative="1">
      <w:start w:val="1"/>
      <w:numFmt w:val="bullet"/>
      <w:lvlText w:val="•"/>
      <w:lvlJc w:val="left"/>
      <w:rPr>
        <w:rFonts w:hint="default"/>
        <w:u w:val="none"/>
      </w:rPr>
    </w:lvl>
    <w:lvl w:ilvl="6" w:tentative="1">
      <w:start w:val="1"/>
      <w:numFmt w:val="bullet"/>
      <w:lvlText w:val="•"/>
      <w:lvlJc w:val="left"/>
      <w:rPr>
        <w:rFonts w:hint="default"/>
        <w:u w:val="none"/>
      </w:rPr>
    </w:lvl>
    <w:lvl w:ilvl="7" w:tentative="1">
      <w:start w:val="1"/>
      <w:numFmt w:val="bullet"/>
      <w:lvlText w:val="•"/>
      <w:lvlJc w:val="left"/>
      <w:rPr>
        <w:rFonts w:hint="default"/>
        <w:u w:val="none"/>
      </w:rPr>
    </w:lvl>
    <w:lvl w:ilvl="8" w:tentative="1">
      <w:start w:val="1"/>
      <w:numFmt w:val="bullet"/>
      <w:lvlText w:val="•"/>
      <w:lvlJc w:val="left"/>
      <w:rPr>
        <w:rFonts w:hint="default"/>
        <w:u w:val="none"/>
      </w:rPr>
    </w:lvl>
  </w:abstractNum>
  <w:abstractNum w:abstractNumId="1041">
    <w:nsid w:val="00000411"/>
    <w:multiLevelType w:val="multilevel"/>
    <w:tmpl w:val="00000411"/>
    <w:lvl w:ilvl="0" w:tentative="1">
      <w:start w:val="4"/>
      <w:numFmt w:val="decimal"/>
      <w:lvlText w:val="%1"/>
      <w:lvlJc w:val="left"/>
      <w:pPr>
        <w:ind w:hanging="780"/>
      </w:pPr>
      <w:rPr>
        <w:rFonts w:hint="default"/>
        <w:u w:val="none"/>
      </w:rPr>
    </w:lvl>
    <w:lvl w:ilvl="1" w:tentative="1">
      <w:start w:val="4"/>
      <w:numFmt w:val="decimal"/>
      <w:lvlText w:val="%1.%2"/>
      <w:lvlJc w:val="left"/>
      <w:pPr>
        <w:ind w:hanging="780"/>
      </w:pPr>
      <w:rPr>
        <w:rFonts w:hint="default"/>
        <w:u w:val="none"/>
      </w:rPr>
    </w:lvl>
    <w:lvl w:ilvl="2" w:tentative="1">
      <w:start w:val="1"/>
      <w:numFmt w:val="decimal"/>
      <w:lvlText w:val="%1.%2.%3."/>
      <w:lvlJc w:val="left"/>
      <w:pPr>
        <w:ind w:hanging="780"/>
      </w:pPr>
      <w:rPr>
        <w:rFonts w:hint="default" w:ascii="Calibri" w:hAnsi="Calibri" w:eastAsia="Calibri"/>
        <w:spacing w:val="-1"/>
        <w:w w:val="99"/>
        <w:sz w:val="30"/>
        <w:u w:val="none"/>
      </w:rPr>
    </w:lvl>
    <w:lvl w:ilvl="3" w:tentative="1">
      <w:start w:val="1"/>
      <w:numFmt w:val="bullet"/>
      <w:lvlText w:val="•"/>
      <w:lvlJc w:val="left"/>
      <w:rPr>
        <w:rFonts w:hint="default"/>
        <w:u w:val="none"/>
      </w:rPr>
    </w:lvl>
    <w:lvl w:ilvl="4" w:tentative="1">
      <w:start w:val="1"/>
      <w:numFmt w:val="bullet"/>
      <w:lvlText w:val="•"/>
      <w:lvlJc w:val="left"/>
      <w:rPr>
        <w:rFonts w:hint="default"/>
        <w:u w:val="none"/>
      </w:rPr>
    </w:lvl>
    <w:lvl w:ilvl="5" w:tentative="1">
      <w:start w:val="1"/>
      <w:numFmt w:val="bullet"/>
      <w:lvlText w:val="•"/>
      <w:lvlJc w:val="left"/>
      <w:rPr>
        <w:rFonts w:hint="default"/>
        <w:u w:val="none"/>
      </w:rPr>
    </w:lvl>
    <w:lvl w:ilvl="6" w:tentative="1">
      <w:start w:val="1"/>
      <w:numFmt w:val="bullet"/>
      <w:lvlText w:val="•"/>
      <w:lvlJc w:val="left"/>
      <w:rPr>
        <w:rFonts w:hint="default"/>
        <w:u w:val="none"/>
      </w:rPr>
    </w:lvl>
    <w:lvl w:ilvl="7" w:tentative="1">
      <w:start w:val="1"/>
      <w:numFmt w:val="bullet"/>
      <w:lvlText w:val="•"/>
      <w:lvlJc w:val="left"/>
      <w:rPr>
        <w:rFonts w:hint="default"/>
        <w:u w:val="none"/>
      </w:rPr>
    </w:lvl>
    <w:lvl w:ilvl="8" w:tentative="1">
      <w:start w:val="1"/>
      <w:numFmt w:val="bullet"/>
      <w:lvlText w:val="•"/>
      <w:lvlJc w:val="left"/>
      <w:rPr>
        <w:rFonts w:hint="default"/>
        <w:u w:val="none"/>
      </w:rPr>
    </w:lvl>
  </w:abstractNum>
  <w:abstractNum w:abstractNumId="1042">
    <w:nsid w:val="00000412"/>
    <w:multiLevelType w:val="multilevel"/>
    <w:tmpl w:val="00000412"/>
    <w:lvl w:ilvl="0" w:tentative="1">
      <w:start w:val="4"/>
      <w:numFmt w:val="decimal"/>
      <w:lvlText w:val="%1"/>
      <w:lvlJc w:val="left"/>
      <w:pPr>
        <w:ind w:hanging="780"/>
      </w:pPr>
      <w:rPr>
        <w:rFonts w:hint="default"/>
        <w:u w:val="none"/>
      </w:rPr>
    </w:lvl>
    <w:lvl w:ilvl="1" w:tentative="1">
      <w:start w:val="5"/>
      <w:numFmt w:val="decimal"/>
      <w:lvlText w:val="%1.%2"/>
      <w:lvlJc w:val="left"/>
      <w:pPr>
        <w:ind w:hanging="780"/>
      </w:pPr>
      <w:rPr>
        <w:rFonts w:hint="default"/>
        <w:u w:val="none"/>
      </w:rPr>
    </w:lvl>
    <w:lvl w:ilvl="2" w:tentative="1">
      <w:start w:val="1"/>
      <w:numFmt w:val="decimal"/>
      <w:lvlText w:val="%1.%2.%3."/>
      <w:lvlJc w:val="left"/>
      <w:pPr>
        <w:ind w:hanging="780"/>
      </w:pPr>
      <w:rPr>
        <w:rFonts w:hint="default" w:ascii="Calibri" w:hAnsi="Calibri" w:eastAsia="Calibri"/>
        <w:spacing w:val="-1"/>
        <w:w w:val="99"/>
        <w:sz w:val="30"/>
        <w:u w:val="none"/>
      </w:rPr>
    </w:lvl>
    <w:lvl w:ilvl="3" w:tentative="1">
      <w:start w:val="1"/>
      <w:numFmt w:val="bullet"/>
      <w:lvlText w:val="•"/>
      <w:lvlJc w:val="left"/>
      <w:rPr>
        <w:rFonts w:hint="default"/>
        <w:u w:val="none"/>
      </w:rPr>
    </w:lvl>
    <w:lvl w:ilvl="4" w:tentative="1">
      <w:start w:val="1"/>
      <w:numFmt w:val="bullet"/>
      <w:lvlText w:val="•"/>
      <w:lvlJc w:val="left"/>
      <w:rPr>
        <w:rFonts w:hint="default"/>
        <w:u w:val="none"/>
      </w:rPr>
    </w:lvl>
    <w:lvl w:ilvl="5" w:tentative="1">
      <w:start w:val="1"/>
      <w:numFmt w:val="bullet"/>
      <w:lvlText w:val="•"/>
      <w:lvlJc w:val="left"/>
      <w:rPr>
        <w:rFonts w:hint="default"/>
        <w:u w:val="none"/>
      </w:rPr>
    </w:lvl>
    <w:lvl w:ilvl="6" w:tentative="1">
      <w:start w:val="1"/>
      <w:numFmt w:val="bullet"/>
      <w:lvlText w:val="•"/>
      <w:lvlJc w:val="left"/>
      <w:rPr>
        <w:rFonts w:hint="default"/>
        <w:u w:val="none"/>
      </w:rPr>
    </w:lvl>
    <w:lvl w:ilvl="7" w:tentative="1">
      <w:start w:val="1"/>
      <w:numFmt w:val="bullet"/>
      <w:lvlText w:val="•"/>
      <w:lvlJc w:val="left"/>
      <w:rPr>
        <w:rFonts w:hint="default"/>
        <w:u w:val="none"/>
      </w:rPr>
    </w:lvl>
    <w:lvl w:ilvl="8" w:tentative="1">
      <w:start w:val="1"/>
      <w:numFmt w:val="bullet"/>
      <w:lvlText w:val="•"/>
      <w:lvlJc w:val="left"/>
      <w:rPr>
        <w:rFonts w:hint="default"/>
        <w:u w:val="none"/>
      </w:rPr>
    </w:lvl>
  </w:abstractNum>
  <w:abstractNum w:abstractNumId="1043">
    <w:nsid w:val="00000413"/>
    <w:multiLevelType w:val="multilevel"/>
    <w:tmpl w:val="00000413"/>
    <w:lvl w:ilvl="0" w:tentative="1">
      <w:start w:val="4"/>
      <w:numFmt w:val="decimal"/>
      <w:lvlText w:val="%1"/>
      <w:lvlJc w:val="left"/>
      <w:pPr>
        <w:ind w:hanging="780"/>
      </w:pPr>
      <w:rPr>
        <w:rFonts w:hint="default"/>
        <w:u w:val="none"/>
      </w:rPr>
    </w:lvl>
    <w:lvl w:ilvl="1" w:tentative="1">
      <w:start w:val="5"/>
      <w:numFmt w:val="decimal"/>
      <w:lvlText w:val="%1.%2"/>
      <w:lvlJc w:val="left"/>
      <w:pPr>
        <w:ind w:hanging="780"/>
      </w:pPr>
      <w:rPr>
        <w:rFonts w:hint="default"/>
        <w:u w:val="none"/>
      </w:rPr>
    </w:lvl>
    <w:lvl w:ilvl="2" w:tentative="1">
      <w:start w:val="4"/>
      <w:numFmt w:val="decimal"/>
      <w:lvlText w:val="%1.%2.%3."/>
      <w:lvlJc w:val="left"/>
      <w:pPr>
        <w:ind w:hanging="780"/>
      </w:pPr>
      <w:rPr>
        <w:rFonts w:hint="default" w:ascii="Calibri" w:hAnsi="Calibri" w:eastAsia="Calibri"/>
        <w:spacing w:val="-1"/>
        <w:w w:val="99"/>
        <w:sz w:val="30"/>
        <w:u w:val="none"/>
      </w:rPr>
    </w:lvl>
    <w:lvl w:ilvl="3" w:tentative="1">
      <w:start w:val="1"/>
      <w:numFmt w:val="bullet"/>
      <w:lvlText w:val="•"/>
      <w:lvlJc w:val="left"/>
      <w:rPr>
        <w:rFonts w:hint="default"/>
        <w:u w:val="none"/>
      </w:rPr>
    </w:lvl>
    <w:lvl w:ilvl="4" w:tentative="1">
      <w:start w:val="1"/>
      <w:numFmt w:val="bullet"/>
      <w:lvlText w:val="•"/>
      <w:lvlJc w:val="left"/>
      <w:rPr>
        <w:rFonts w:hint="default"/>
        <w:u w:val="none"/>
      </w:rPr>
    </w:lvl>
    <w:lvl w:ilvl="5" w:tentative="1">
      <w:start w:val="1"/>
      <w:numFmt w:val="bullet"/>
      <w:lvlText w:val="•"/>
      <w:lvlJc w:val="left"/>
      <w:rPr>
        <w:rFonts w:hint="default"/>
        <w:u w:val="none"/>
      </w:rPr>
    </w:lvl>
    <w:lvl w:ilvl="6" w:tentative="1">
      <w:start w:val="1"/>
      <w:numFmt w:val="bullet"/>
      <w:lvlText w:val="•"/>
      <w:lvlJc w:val="left"/>
      <w:rPr>
        <w:rFonts w:hint="default"/>
        <w:u w:val="none"/>
      </w:rPr>
    </w:lvl>
    <w:lvl w:ilvl="7" w:tentative="1">
      <w:start w:val="1"/>
      <w:numFmt w:val="bullet"/>
      <w:lvlText w:val="•"/>
      <w:lvlJc w:val="left"/>
      <w:rPr>
        <w:rFonts w:hint="default"/>
        <w:u w:val="none"/>
      </w:rPr>
    </w:lvl>
    <w:lvl w:ilvl="8" w:tentative="1">
      <w:start w:val="1"/>
      <w:numFmt w:val="bullet"/>
      <w:lvlText w:val="•"/>
      <w:lvlJc w:val="left"/>
      <w:rPr>
        <w:rFonts w:hint="default"/>
        <w:u w:val="none"/>
      </w:rPr>
    </w:lvl>
  </w:abstractNum>
  <w:abstractNum w:abstractNumId="1044">
    <w:nsid w:val="00000414"/>
    <w:multiLevelType w:val="multilevel"/>
    <w:tmpl w:val="00000414"/>
    <w:lvl w:ilvl="0" w:tentative="1">
      <w:start w:val="4"/>
      <w:numFmt w:val="decimal"/>
      <w:lvlText w:val="%1"/>
      <w:lvlJc w:val="left"/>
      <w:pPr>
        <w:ind w:hanging="932"/>
      </w:pPr>
      <w:rPr>
        <w:rFonts w:hint="default"/>
        <w:u w:val="none"/>
      </w:rPr>
    </w:lvl>
    <w:lvl w:ilvl="1" w:tentative="1">
      <w:start w:val="5"/>
      <w:numFmt w:val="decimal"/>
      <w:lvlText w:val="%1.%2"/>
      <w:lvlJc w:val="left"/>
      <w:pPr>
        <w:ind w:hanging="932"/>
      </w:pPr>
      <w:rPr>
        <w:rFonts w:hint="default"/>
        <w:u w:val="none"/>
      </w:rPr>
    </w:lvl>
    <w:lvl w:ilvl="2" w:tentative="1">
      <w:start w:val="19"/>
      <w:numFmt w:val="decimal"/>
      <w:lvlText w:val="%1.%2.%3."/>
      <w:lvlJc w:val="left"/>
      <w:pPr>
        <w:ind w:hanging="932"/>
      </w:pPr>
      <w:rPr>
        <w:rFonts w:hint="default" w:ascii="Calibri" w:hAnsi="Calibri" w:eastAsia="Calibri"/>
        <w:spacing w:val="-1"/>
        <w:w w:val="99"/>
        <w:sz w:val="30"/>
        <w:u w:val="none"/>
      </w:rPr>
    </w:lvl>
    <w:lvl w:ilvl="3" w:tentative="1">
      <w:start w:val="1"/>
      <w:numFmt w:val="bullet"/>
      <w:lvlText w:val="•"/>
      <w:lvlJc w:val="left"/>
      <w:rPr>
        <w:rFonts w:hint="default"/>
        <w:u w:val="none"/>
      </w:rPr>
    </w:lvl>
    <w:lvl w:ilvl="4" w:tentative="1">
      <w:start w:val="1"/>
      <w:numFmt w:val="bullet"/>
      <w:lvlText w:val="•"/>
      <w:lvlJc w:val="left"/>
      <w:rPr>
        <w:rFonts w:hint="default"/>
        <w:u w:val="none"/>
      </w:rPr>
    </w:lvl>
    <w:lvl w:ilvl="5" w:tentative="1">
      <w:start w:val="1"/>
      <w:numFmt w:val="bullet"/>
      <w:lvlText w:val="•"/>
      <w:lvlJc w:val="left"/>
      <w:rPr>
        <w:rFonts w:hint="default"/>
        <w:u w:val="none"/>
      </w:rPr>
    </w:lvl>
    <w:lvl w:ilvl="6" w:tentative="1">
      <w:start w:val="1"/>
      <w:numFmt w:val="bullet"/>
      <w:lvlText w:val="•"/>
      <w:lvlJc w:val="left"/>
      <w:rPr>
        <w:rFonts w:hint="default"/>
        <w:u w:val="none"/>
      </w:rPr>
    </w:lvl>
    <w:lvl w:ilvl="7" w:tentative="1">
      <w:start w:val="1"/>
      <w:numFmt w:val="bullet"/>
      <w:lvlText w:val="•"/>
      <w:lvlJc w:val="left"/>
      <w:rPr>
        <w:rFonts w:hint="default"/>
        <w:u w:val="none"/>
      </w:rPr>
    </w:lvl>
    <w:lvl w:ilvl="8" w:tentative="1">
      <w:start w:val="1"/>
      <w:numFmt w:val="bullet"/>
      <w:lvlText w:val="•"/>
      <w:lvlJc w:val="left"/>
      <w:rPr>
        <w:rFonts w:hint="default"/>
        <w:u w:val="none"/>
      </w:rPr>
    </w:lvl>
  </w:abstractNum>
  <w:abstractNum w:abstractNumId="1408721080">
    <w:nsid w:val="53F760B8"/>
    <w:multiLevelType w:val="multilevel"/>
    <w:tmpl w:val="53F760B8"/>
    <w:lvl w:ilvl="0" w:tentative="1">
      <w:start w:val="1"/>
      <w:numFmt w:val="chineseCountingThousand"/>
      <w:suff w:val="nothing"/>
      <w:lvlText w:val="第%1章 "/>
      <w:lvlJc w:val="left"/>
      <w:pPr>
        <w:ind w:left="0" w:firstLine="0"/>
      </w:pPr>
      <w:rPr>
        <w:rFonts w:hint="eastAsia" w:eastAsia="黑体"/>
        <w:b/>
        <w:i w:val="0"/>
        <w:iCs w:val="0"/>
        <w:caps w:val="0"/>
        <w:strike w:val="0"/>
        <w:dstrike w:val="0"/>
        <w:outline w:val="0"/>
        <w:shadow w:val="0"/>
        <w:spacing w:val="0"/>
        <w:position w:val="0"/>
        <w:sz w:val="36"/>
        <w:szCs w:val="36"/>
        <w:u w:val="none"/>
      </w:rPr>
    </w:lvl>
    <w:lvl w:ilvl="1" w:tentative="1">
      <w:start w:val="1"/>
      <w:numFmt w:val="decimal"/>
      <w:isLgl/>
      <w:suff w:val="nothing"/>
      <w:lvlText w:val="%1.%2 "/>
      <w:lvlJc w:val="left"/>
      <w:pPr>
        <w:ind w:left="0" w:firstLine="0"/>
      </w:pPr>
      <w:rPr>
        <w:rFonts w:hint="default" w:ascii="Times New Roman" w:hAnsi="Times New Roman"/>
        <w:b/>
        <w:i w:val="0"/>
        <w:sz w:val="30"/>
        <w:szCs w:val="30"/>
      </w:rPr>
    </w:lvl>
    <w:lvl w:ilvl="2" w:tentative="1">
      <w:start w:val="1"/>
      <w:numFmt w:val="decimal"/>
      <w:isLgl/>
      <w:suff w:val="nothing"/>
      <w:lvlText w:val="%1.%2.%3 "/>
      <w:lvlJc w:val="left"/>
      <w:pPr>
        <w:ind w:left="0" w:firstLine="0"/>
      </w:pPr>
      <w:rPr>
        <w:rFonts w:hint="default" w:ascii="Times New Roman" w:hAnsi="Times New Roman"/>
        <w:b/>
        <w:i w:val="0"/>
        <w:sz w:val="28"/>
        <w:szCs w:val="28"/>
      </w:rPr>
    </w:lvl>
    <w:lvl w:ilvl="3" w:tentative="1">
      <w:start w:val="1"/>
      <w:numFmt w:val="decimal"/>
      <w:pStyle w:val="5"/>
      <w:isLgl/>
      <w:suff w:val="nothing"/>
      <w:lvlText w:val="%1.%2.%3.%4 "/>
      <w:lvlJc w:val="left"/>
      <w:pPr>
        <w:ind w:left="0" w:firstLine="0"/>
      </w:pPr>
      <w:rPr>
        <w:rFonts w:hint="default" w:ascii="Times New Roman" w:hAnsi="Times New Roman"/>
        <w:b/>
        <w:i w:val="0"/>
        <w:sz w:val="28"/>
        <w:szCs w:val="28"/>
      </w:rPr>
    </w:lvl>
    <w:lvl w:ilvl="4" w:tentative="1">
      <w:start w:val="1"/>
      <w:numFmt w:val="decimal"/>
      <w:pStyle w:val="6"/>
      <w:isLgl/>
      <w:suff w:val="nothing"/>
      <w:lvlText w:val="%1.%2.%3.%4.%5"/>
      <w:lvlJc w:val="left"/>
      <w:pPr>
        <w:ind w:left="0" w:firstLine="0"/>
      </w:pPr>
      <w:rPr>
        <w:rFonts w:hint="default" w:ascii="Times New Roman" w:hAnsi="Times New Roman"/>
        <w:b/>
        <w:i w:val="0"/>
        <w:color w:val="auto"/>
        <w:sz w:val="28"/>
        <w:szCs w:val="28"/>
      </w:rPr>
    </w:lvl>
    <w:lvl w:ilvl="5" w:tentative="1">
      <w:start w:val="1"/>
      <w:numFmt w:val="decimal"/>
      <w:isLgl/>
      <w:lvlText w:val="%1.%2.%3.%4.%5.%6"/>
      <w:lvlJc w:val="left"/>
      <w:pPr>
        <w:tabs>
          <w:tab w:val="left" w:pos="0"/>
        </w:tabs>
        <w:ind w:left="0" w:firstLine="0"/>
      </w:pPr>
      <w:rPr>
        <w:rFonts w:hint="eastAsia"/>
      </w:rPr>
    </w:lvl>
    <w:lvl w:ilvl="6" w:tentative="1">
      <w:start w:val="1"/>
      <w:numFmt w:val="decimal"/>
      <w:isLgl/>
      <w:suff w:val="nothing"/>
      <w:lvlText w:val="%1.%2.%3.%4.%5.%6.%7"/>
      <w:lvlJc w:val="left"/>
      <w:pPr>
        <w:ind w:left="0" w:firstLine="0"/>
      </w:pPr>
      <w:rPr>
        <w:rFonts w:hint="eastAsia"/>
      </w:rPr>
    </w:lvl>
    <w:lvl w:ilvl="7" w:tentative="1">
      <w:start w:val="1"/>
      <w:numFmt w:val="decimal"/>
      <w:lvlText w:val="%2.%3.%4.%5.%6.%7.%8"/>
      <w:lvlJc w:val="left"/>
      <w:pPr>
        <w:tabs>
          <w:tab w:val="left" w:pos="0"/>
        </w:tabs>
        <w:ind w:left="0" w:firstLine="0"/>
      </w:pPr>
      <w:rPr>
        <w:rFonts w:hint="default" w:ascii="Times New Roman" w:hAnsi="Times New Roman"/>
        <w:b/>
        <w:i w:val="0"/>
      </w:rPr>
    </w:lvl>
    <w:lvl w:ilvl="8" w:tentative="1">
      <w:start w:val="1"/>
      <w:numFmt w:val="decimal"/>
      <w:lvlText w:val="%2.%3.%4.%5.%6.%7.%8.%9"/>
      <w:lvlJc w:val="left"/>
      <w:pPr>
        <w:tabs>
          <w:tab w:val="left" w:pos="966"/>
        </w:tabs>
        <w:ind w:left="966" w:hanging="1584"/>
      </w:pPr>
      <w:rPr>
        <w:rFonts w:hint="eastAsia"/>
      </w:rPr>
    </w:lvl>
  </w:abstractNum>
  <w:abstractNum w:abstractNumId="1438861384">
    <w:nsid w:val="55C34848"/>
    <w:multiLevelType w:val="singleLevel"/>
    <w:tmpl w:val="55C34848"/>
    <w:lvl w:ilvl="0" w:tentative="1">
      <w:start w:val="1"/>
      <w:numFmt w:val="decimal"/>
      <w:suff w:val="space"/>
      <w:lvlText w:val="%1."/>
      <w:lvlJc w:val="left"/>
    </w:lvl>
  </w:abstractNum>
  <w:num w:numId="1">
    <w:abstractNumId w:val="1408721080"/>
  </w:num>
  <w:num w:numId="2">
    <w:abstractNumId w:val="1044"/>
  </w:num>
  <w:num w:numId="3">
    <w:abstractNumId w:val="1043"/>
  </w:num>
  <w:num w:numId="4">
    <w:abstractNumId w:val="1042"/>
  </w:num>
  <w:num w:numId="5">
    <w:abstractNumId w:val="1041"/>
  </w:num>
  <w:num w:numId="6">
    <w:abstractNumId w:val="1438861384"/>
  </w:num>
  <w:num w:numId="7">
    <w:abstractNumId w:val="1039"/>
  </w:num>
  <w:num w:numId="8">
    <w:abstractNumId w:val="1035"/>
  </w:num>
  <w:num w:numId="9">
    <w:abstractNumId w:val="1034"/>
  </w:num>
  <w:num w:numId="10">
    <w:abstractNumId w:val="1033"/>
  </w:num>
  <w:num w:numId="11">
    <w:abstractNumId w:val="10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5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9A5CF8"/>
    <w:rsid w:val="00017EA0"/>
    <w:rsid w:val="0005503D"/>
    <w:rsid w:val="0006201E"/>
    <w:rsid w:val="00080A34"/>
    <w:rsid w:val="0008222B"/>
    <w:rsid w:val="0008415C"/>
    <w:rsid w:val="00086C9A"/>
    <w:rsid w:val="00087ACC"/>
    <w:rsid w:val="000A248D"/>
    <w:rsid w:val="000C352E"/>
    <w:rsid w:val="000F672B"/>
    <w:rsid w:val="00105BD0"/>
    <w:rsid w:val="00124983"/>
    <w:rsid w:val="001303DD"/>
    <w:rsid w:val="0014634C"/>
    <w:rsid w:val="0015466A"/>
    <w:rsid w:val="001644A1"/>
    <w:rsid w:val="00170D90"/>
    <w:rsid w:val="00190186"/>
    <w:rsid w:val="001A299A"/>
    <w:rsid w:val="001B291F"/>
    <w:rsid w:val="001B2962"/>
    <w:rsid w:val="001C39BE"/>
    <w:rsid w:val="001C4995"/>
    <w:rsid w:val="001D346E"/>
    <w:rsid w:val="001D5CC9"/>
    <w:rsid w:val="001F11A9"/>
    <w:rsid w:val="002014A9"/>
    <w:rsid w:val="00201A2F"/>
    <w:rsid w:val="00207250"/>
    <w:rsid w:val="002149E6"/>
    <w:rsid w:val="00216C9C"/>
    <w:rsid w:val="00231252"/>
    <w:rsid w:val="00247786"/>
    <w:rsid w:val="002520DB"/>
    <w:rsid w:val="002634E5"/>
    <w:rsid w:val="00280753"/>
    <w:rsid w:val="00285288"/>
    <w:rsid w:val="002A0B99"/>
    <w:rsid w:val="002A1972"/>
    <w:rsid w:val="002C21A5"/>
    <w:rsid w:val="002C222A"/>
    <w:rsid w:val="002C2522"/>
    <w:rsid w:val="002E168D"/>
    <w:rsid w:val="002E47AC"/>
    <w:rsid w:val="002F435A"/>
    <w:rsid w:val="00324959"/>
    <w:rsid w:val="003315FA"/>
    <w:rsid w:val="00333573"/>
    <w:rsid w:val="0033420C"/>
    <w:rsid w:val="00336D01"/>
    <w:rsid w:val="003607D0"/>
    <w:rsid w:val="00371C5C"/>
    <w:rsid w:val="00371F7E"/>
    <w:rsid w:val="00373107"/>
    <w:rsid w:val="003919E2"/>
    <w:rsid w:val="003C15AC"/>
    <w:rsid w:val="003D4F37"/>
    <w:rsid w:val="003E3E8D"/>
    <w:rsid w:val="003E6C22"/>
    <w:rsid w:val="0041239F"/>
    <w:rsid w:val="00420CC4"/>
    <w:rsid w:val="00431FC4"/>
    <w:rsid w:val="00462DC4"/>
    <w:rsid w:val="00470A1B"/>
    <w:rsid w:val="0047627A"/>
    <w:rsid w:val="00476BF0"/>
    <w:rsid w:val="004B1387"/>
    <w:rsid w:val="004B18BC"/>
    <w:rsid w:val="004D52B2"/>
    <w:rsid w:val="004D5E2F"/>
    <w:rsid w:val="004E3DD6"/>
    <w:rsid w:val="004F0DF0"/>
    <w:rsid w:val="004F7884"/>
    <w:rsid w:val="00515DCA"/>
    <w:rsid w:val="00522EBF"/>
    <w:rsid w:val="005474FD"/>
    <w:rsid w:val="005636BB"/>
    <w:rsid w:val="00570327"/>
    <w:rsid w:val="005820BF"/>
    <w:rsid w:val="00583FC6"/>
    <w:rsid w:val="005872EE"/>
    <w:rsid w:val="00591508"/>
    <w:rsid w:val="005969AF"/>
    <w:rsid w:val="005A52B2"/>
    <w:rsid w:val="005C3BBC"/>
    <w:rsid w:val="005C7386"/>
    <w:rsid w:val="005D4197"/>
    <w:rsid w:val="005E3777"/>
    <w:rsid w:val="005E7D6D"/>
    <w:rsid w:val="005F2F6D"/>
    <w:rsid w:val="00604781"/>
    <w:rsid w:val="00607248"/>
    <w:rsid w:val="00612287"/>
    <w:rsid w:val="00634266"/>
    <w:rsid w:val="00643ADF"/>
    <w:rsid w:val="0065155F"/>
    <w:rsid w:val="00660848"/>
    <w:rsid w:val="0066300A"/>
    <w:rsid w:val="00664FB4"/>
    <w:rsid w:val="006721E6"/>
    <w:rsid w:val="0067699A"/>
    <w:rsid w:val="006B4B5E"/>
    <w:rsid w:val="006C2755"/>
    <w:rsid w:val="006E3ED5"/>
    <w:rsid w:val="00703350"/>
    <w:rsid w:val="00706164"/>
    <w:rsid w:val="007143BD"/>
    <w:rsid w:val="00725578"/>
    <w:rsid w:val="0072737A"/>
    <w:rsid w:val="007328FD"/>
    <w:rsid w:val="00736C02"/>
    <w:rsid w:val="00746973"/>
    <w:rsid w:val="00760DEA"/>
    <w:rsid w:val="00767D9C"/>
    <w:rsid w:val="00774DC0"/>
    <w:rsid w:val="0079586B"/>
    <w:rsid w:val="007B3DFB"/>
    <w:rsid w:val="007B4EBA"/>
    <w:rsid w:val="007C1756"/>
    <w:rsid w:val="007C35CF"/>
    <w:rsid w:val="007C7E25"/>
    <w:rsid w:val="007D5E3E"/>
    <w:rsid w:val="007D6F89"/>
    <w:rsid w:val="00825C3D"/>
    <w:rsid w:val="00836FFF"/>
    <w:rsid w:val="00841649"/>
    <w:rsid w:val="00844504"/>
    <w:rsid w:val="008653B8"/>
    <w:rsid w:val="00874B54"/>
    <w:rsid w:val="00893E5B"/>
    <w:rsid w:val="008941D6"/>
    <w:rsid w:val="00896511"/>
    <w:rsid w:val="008A1D8A"/>
    <w:rsid w:val="008B4CE1"/>
    <w:rsid w:val="008B5A37"/>
    <w:rsid w:val="008C576D"/>
    <w:rsid w:val="008C6729"/>
    <w:rsid w:val="008D1856"/>
    <w:rsid w:val="008E0652"/>
    <w:rsid w:val="008E53AF"/>
    <w:rsid w:val="008F0614"/>
    <w:rsid w:val="008F4FFA"/>
    <w:rsid w:val="008F6482"/>
    <w:rsid w:val="008F7D51"/>
    <w:rsid w:val="009164FE"/>
    <w:rsid w:val="009242E9"/>
    <w:rsid w:val="00924B42"/>
    <w:rsid w:val="0095225A"/>
    <w:rsid w:val="00963E2A"/>
    <w:rsid w:val="00967514"/>
    <w:rsid w:val="00967EB2"/>
    <w:rsid w:val="00974494"/>
    <w:rsid w:val="00975273"/>
    <w:rsid w:val="00986DD6"/>
    <w:rsid w:val="00991CBF"/>
    <w:rsid w:val="009927B1"/>
    <w:rsid w:val="00992B56"/>
    <w:rsid w:val="00997C78"/>
    <w:rsid w:val="009A3645"/>
    <w:rsid w:val="009A40A5"/>
    <w:rsid w:val="009A5CF8"/>
    <w:rsid w:val="009A6F2D"/>
    <w:rsid w:val="00A36949"/>
    <w:rsid w:val="00A37C4F"/>
    <w:rsid w:val="00A4333F"/>
    <w:rsid w:val="00A541A5"/>
    <w:rsid w:val="00A762EF"/>
    <w:rsid w:val="00A92351"/>
    <w:rsid w:val="00A94D4C"/>
    <w:rsid w:val="00AB67CC"/>
    <w:rsid w:val="00AD3525"/>
    <w:rsid w:val="00AD7D38"/>
    <w:rsid w:val="00AE0589"/>
    <w:rsid w:val="00AE063F"/>
    <w:rsid w:val="00AE085E"/>
    <w:rsid w:val="00AE2235"/>
    <w:rsid w:val="00B04F7D"/>
    <w:rsid w:val="00B068FB"/>
    <w:rsid w:val="00B23B8E"/>
    <w:rsid w:val="00B2547D"/>
    <w:rsid w:val="00B402EB"/>
    <w:rsid w:val="00B41D9C"/>
    <w:rsid w:val="00B44564"/>
    <w:rsid w:val="00B56167"/>
    <w:rsid w:val="00B57985"/>
    <w:rsid w:val="00B64518"/>
    <w:rsid w:val="00B71118"/>
    <w:rsid w:val="00BA405A"/>
    <w:rsid w:val="00BA7782"/>
    <w:rsid w:val="00BC5927"/>
    <w:rsid w:val="00BC73AD"/>
    <w:rsid w:val="00BE5CE6"/>
    <w:rsid w:val="00BF753B"/>
    <w:rsid w:val="00C03F2F"/>
    <w:rsid w:val="00C15535"/>
    <w:rsid w:val="00C20A3D"/>
    <w:rsid w:val="00C22872"/>
    <w:rsid w:val="00C32C30"/>
    <w:rsid w:val="00C34932"/>
    <w:rsid w:val="00C35F1F"/>
    <w:rsid w:val="00C51450"/>
    <w:rsid w:val="00C716C5"/>
    <w:rsid w:val="00C84E37"/>
    <w:rsid w:val="00C86C14"/>
    <w:rsid w:val="00C97038"/>
    <w:rsid w:val="00CA262C"/>
    <w:rsid w:val="00CA78ED"/>
    <w:rsid w:val="00CB0E28"/>
    <w:rsid w:val="00CC012A"/>
    <w:rsid w:val="00CC0846"/>
    <w:rsid w:val="00CC314A"/>
    <w:rsid w:val="00CC5872"/>
    <w:rsid w:val="00CE53EA"/>
    <w:rsid w:val="00CF5223"/>
    <w:rsid w:val="00D12207"/>
    <w:rsid w:val="00D30986"/>
    <w:rsid w:val="00D30AFC"/>
    <w:rsid w:val="00D377C2"/>
    <w:rsid w:val="00D55B79"/>
    <w:rsid w:val="00D65D64"/>
    <w:rsid w:val="00D66DDB"/>
    <w:rsid w:val="00D674C6"/>
    <w:rsid w:val="00D71860"/>
    <w:rsid w:val="00D76C9A"/>
    <w:rsid w:val="00D8778B"/>
    <w:rsid w:val="00D9330F"/>
    <w:rsid w:val="00DB5013"/>
    <w:rsid w:val="00DD2780"/>
    <w:rsid w:val="00DD5F79"/>
    <w:rsid w:val="00DE40BE"/>
    <w:rsid w:val="00E13A71"/>
    <w:rsid w:val="00E144C7"/>
    <w:rsid w:val="00E23AE1"/>
    <w:rsid w:val="00E2546D"/>
    <w:rsid w:val="00E3459F"/>
    <w:rsid w:val="00E356E8"/>
    <w:rsid w:val="00E43920"/>
    <w:rsid w:val="00E43F6E"/>
    <w:rsid w:val="00E715E9"/>
    <w:rsid w:val="00E75856"/>
    <w:rsid w:val="00E7641D"/>
    <w:rsid w:val="00EA0F7E"/>
    <w:rsid w:val="00EA1EE6"/>
    <w:rsid w:val="00EB0393"/>
    <w:rsid w:val="00EB33F3"/>
    <w:rsid w:val="00EB53D9"/>
    <w:rsid w:val="00EB7D3E"/>
    <w:rsid w:val="00EC053A"/>
    <w:rsid w:val="00EC6433"/>
    <w:rsid w:val="00ED2255"/>
    <w:rsid w:val="00ED6233"/>
    <w:rsid w:val="00F106ED"/>
    <w:rsid w:val="00F167AE"/>
    <w:rsid w:val="00F17AB2"/>
    <w:rsid w:val="00F20CBF"/>
    <w:rsid w:val="00F43438"/>
    <w:rsid w:val="00F46891"/>
    <w:rsid w:val="00F5635B"/>
    <w:rsid w:val="00F614F1"/>
    <w:rsid w:val="00F666E3"/>
    <w:rsid w:val="00F81A13"/>
    <w:rsid w:val="00F9352A"/>
    <w:rsid w:val="00F9617F"/>
    <w:rsid w:val="00FA3DF0"/>
    <w:rsid w:val="00FA7E63"/>
    <w:rsid w:val="00FB19E0"/>
    <w:rsid w:val="00FE0C5A"/>
    <w:rsid w:val="047C49E9"/>
    <w:rsid w:val="04C87066"/>
    <w:rsid w:val="187D7D61"/>
    <w:rsid w:val="31350C4C"/>
    <w:rsid w:val="38117A4E"/>
    <w:rsid w:val="384B03E9"/>
    <w:rsid w:val="3A5E23D3"/>
    <w:rsid w:val="4ED97DE9"/>
    <w:rsid w:val="53B931EA"/>
    <w:rsid w:val="7A186D5D"/>
    <w:rsid w:val="7FC65CAF"/>
  </w:rsids>
  <w:doNotAutoCompressPicture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semiHidden="0" w:name="heading 4" w:locked="1"/>
    <w:lsdException w:qFormat="1" w:uiPriority="0" w:semiHidden="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99" w:name="toc 1"/>
    <w:lsdException w:unhideWhenUsed="0" w:uiPriority="99" w:name="toc 2"/>
    <w:lsdException w:unhideWhenUsed="0" w:uiPriority="99"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unhideWhenUsed="0" w:uiPriority="99" w:semiHidden="0" w:name="header"/>
    <w:lsdException w:unhideWhenUsed="0" w:uiPriority="99"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iPriority="1" w:name="Default Paragraph Font"/>
    <w:lsdException w:unhideWhenUsed="0" w:uiPriority="99"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99" w:semiHidden="0" w:name="Hyperlink"/>
    <w:lsdException w:uiPriority="0" w:name="FollowedHyperlink"/>
    <w:lsdException w:qFormat="1" w:unhideWhenUsed="0" w:uiPriority="0" w:semiHidden="0" w:name="Strong" w:locked="1"/>
    <w:lsdException w:qFormat="1" w:unhideWhenUsed="0" w:uiPriority="0" w:semiHidden="0" w:name="Emphasis" w:locked="1"/>
    <w:lsdException w:unhideWhenUsed="0" w:uiPriority="99" w:name="Document Map"/>
    <w:lsdException w:uiPriority="0" w:name="Plain Text"/>
    <w:lsdException w:uiPriority="0" w:name="E-mail Signature"/>
    <w:lsdException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99" w:name="Balloon Text"/>
    <w:lsdException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120" w:after="120"/>
      <w:ind w:left="1559" w:hanging="720"/>
    </w:pPr>
    <w:rPr>
      <w:rFonts w:ascii="Times New Roman" w:hAnsi="Times New Roman" w:eastAsia="宋体" w:cs="Times New Roman"/>
      <w:kern w:val="2"/>
      <w:sz w:val="21"/>
      <w:szCs w:val="21"/>
      <w:lang w:val="en-US" w:eastAsia="zh-CN" w:bidi="ar-SA"/>
    </w:rPr>
  </w:style>
  <w:style w:type="paragraph" w:styleId="2">
    <w:name w:val="heading 1"/>
    <w:basedOn w:val="1"/>
    <w:next w:val="1"/>
    <w:link w:val="28"/>
    <w:qFormat/>
    <w:uiPriority w:val="99"/>
    <w:pPr>
      <w:keepNext/>
      <w:keepLines/>
      <w:tabs>
        <w:tab w:val="left" w:pos="630"/>
        <w:tab w:val="left" w:pos="851"/>
      </w:tabs>
      <w:adjustRightInd w:val="0"/>
      <w:spacing w:beforeLines="100"/>
      <w:ind w:left="0" w:hanging="567"/>
      <w:outlineLvl w:val="0"/>
    </w:pPr>
    <w:rPr>
      <w:rFonts w:ascii="Arial" w:hAnsi="Arial" w:eastAsia="黑体" w:cs="Arial"/>
      <w:kern w:val="44"/>
      <w:sz w:val="24"/>
      <w:szCs w:val="24"/>
      <w:lang w:val="zh-CN"/>
    </w:rPr>
  </w:style>
  <w:style w:type="paragraph" w:styleId="3">
    <w:name w:val="heading 2"/>
    <w:basedOn w:val="1"/>
    <w:next w:val="1"/>
    <w:link w:val="29"/>
    <w:qFormat/>
    <w:uiPriority w:val="99"/>
    <w:pPr>
      <w:keepNext/>
      <w:keepLines/>
      <w:spacing w:before="260" w:after="260" w:line="416" w:lineRule="auto"/>
      <w:ind w:left="0" w:firstLine="0"/>
      <w:outlineLvl w:val="1"/>
    </w:pPr>
    <w:rPr>
      <w:rFonts w:ascii="Cambria" w:hAnsi="Cambria" w:cs="Cambria"/>
      <w:b/>
      <w:bCs/>
      <w:sz w:val="32"/>
      <w:szCs w:val="32"/>
    </w:rPr>
  </w:style>
  <w:style w:type="paragraph" w:styleId="4">
    <w:name w:val="heading 3"/>
    <w:basedOn w:val="1"/>
    <w:next w:val="1"/>
    <w:link w:val="30"/>
    <w:qFormat/>
    <w:uiPriority w:val="99"/>
    <w:pPr>
      <w:keepNext/>
      <w:keepLines/>
      <w:spacing w:before="260" w:after="260" w:line="416" w:lineRule="auto"/>
      <w:outlineLvl w:val="2"/>
    </w:pPr>
    <w:rPr>
      <w:b/>
      <w:bCs/>
      <w:sz w:val="32"/>
      <w:szCs w:val="32"/>
    </w:rPr>
  </w:style>
  <w:style w:type="paragraph" w:styleId="5">
    <w:name w:val="heading 4"/>
    <w:next w:val="1"/>
    <w:unhideWhenUsed/>
    <w:qFormat/>
    <w:locked/>
    <w:uiPriority w:val="0"/>
    <w:pPr>
      <w:keepNext/>
      <w:keepLines/>
      <w:numPr>
        <w:ilvl w:val="3"/>
        <w:numId w:val="1"/>
      </w:numPr>
      <w:spacing w:after="60"/>
      <w:outlineLvl w:val="3"/>
    </w:pPr>
    <w:rPr>
      <w:rFonts w:ascii="Arial" w:hAnsi="Arial" w:eastAsia="黑体" w:cs="Calibri"/>
      <w:b/>
      <w:bCs/>
      <w:kern w:val="2"/>
      <w:sz w:val="28"/>
      <w:szCs w:val="28"/>
      <w:lang w:val="en-US" w:eastAsia="zh-CN" w:bidi="ar-SA"/>
    </w:rPr>
  </w:style>
  <w:style w:type="paragraph" w:styleId="6">
    <w:name w:val="heading 5"/>
    <w:next w:val="1"/>
    <w:unhideWhenUsed/>
    <w:qFormat/>
    <w:locked/>
    <w:uiPriority w:val="0"/>
    <w:pPr>
      <w:keepNext/>
      <w:keepLines/>
      <w:numPr>
        <w:ilvl w:val="4"/>
        <w:numId w:val="1"/>
      </w:numPr>
      <w:spacing w:before="120" w:after="120"/>
      <w:outlineLvl w:val="4"/>
    </w:pPr>
    <w:rPr>
      <w:rFonts w:ascii="Calibri" w:hAnsi="Calibri" w:eastAsia="黑体" w:cs="Calibri"/>
      <w:b/>
      <w:bCs/>
      <w:kern w:val="2"/>
      <w:sz w:val="28"/>
      <w:szCs w:val="28"/>
      <w:lang w:val="en-US" w:eastAsia="zh-CN" w:bidi="ar-SA"/>
    </w:rPr>
  </w:style>
  <w:style w:type="character" w:default="1" w:styleId="16">
    <w:name w:val="Default Paragraph Font"/>
    <w:unhideWhenUsed/>
    <w:uiPriority w:val="1"/>
  </w:style>
  <w:style w:type="table" w:default="1" w:styleId="18">
    <w:name w:val="Normal Table"/>
    <w:unhideWhenUsed/>
    <w:qFormat/>
    <w:uiPriority w:val="99"/>
    <w:tblPr>
      <w:tblStyle w:val="18"/>
      <w:tblLayout w:type="fixed"/>
      <w:tblCellMar>
        <w:top w:w="0" w:type="dxa"/>
        <w:left w:w="108" w:type="dxa"/>
        <w:bottom w:w="0" w:type="dxa"/>
        <w:right w:w="108" w:type="dxa"/>
      </w:tblCellMar>
    </w:tblPr>
  </w:style>
  <w:style w:type="paragraph" w:styleId="7">
    <w:name w:val="Document Map"/>
    <w:basedOn w:val="1"/>
    <w:link w:val="35"/>
    <w:semiHidden/>
    <w:uiPriority w:val="99"/>
    <w:rPr>
      <w:rFonts w:ascii="宋体" w:cs="宋体"/>
      <w:sz w:val="18"/>
      <w:szCs w:val="18"/>
    </w:rPr>
  </w:style>
  <w:style w:type="paragraph" w:styleId="8">
    <w:name w:val="Body Text"/>
    <w:basedOn w:val="1"/>
    <w:link w:val="31"/>
    <w:uiPriority w:val="99"/>
    <w:pPr>
      <w:spacing w:before="0" w:after="0"/>
      <w:ind w:left="0"/>
    </w:pPr>
    <w:rPr>
      <w:sz w:val="28"/>
      <w:szCs w:val="28"/>
    </w:rPr>
  </w:style>
  <w:style w:type="paragraph" w:styleId="9">
    <w:name w:val="toc 3"/>
    <w:basedOn w:val="1"/>
    <w:next w:val="1"/>
    <w:semiHidden/>
    <w:uiPriority w:val="99"/>
    <w:pPr>
      <w:ind w:left="840" w:leftChars="400"/>
    </w:pPr>
  </w:style>
  <w:style w:type="paragraph" w:styleId="10">
    <w:name w:val="Balloon Text"/>
    <w:basedOn w:val="1"/>
    <w:link w:val="34"/>
    <w:semiHidden/>
    <w:uiPriority w:val="99"/>
    <w:pPr>
      <w:spacing w:before="0" w:after="0"/>
    </w:pPr>
    <w:rPr>
      <w:sz w:val="18"/>
      <w:szCs w:val="18"/>
    </w:rPr>
  </w:style>
  <w:style w:type="paragraph" w:styleId="11">
    <w:name w:val="footer"/>
    <w:basedOn w:val="1"/>
    <w:link w:val="33"/>
    <w:semiHidden/>
    <w:uiPriority w:val="99"/>
    <w:pPr>
      <w:tabs>
        <w:tab w:val="center" w:pos="4153"/>
        <w:tab w:val="right" w:pos="8306"/>
      </w:tabs>
      <w:snapToGrid w:val="0"/>
    </w:pPr>
    <w:rPr>
      <w:sz w:val="18"/>
      <w:szCs w:val="18"/>
    </w:rPr>
  </w:style>
  <w:style w:type="paragraph" w:styleId="12">
    <w:name w:val="header"/>
    <w:basedOn w:val="1"/>
    <w:link w:val="32"/>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semiHidden/>
    <w:uiPriority w:val="99"/>
    <w:pPr>
      <w:tabs>
        <w:tab w:val="left" w:pos="540"/>
        <w:tab w:val="right" w:leader="dot" w:pos="8630"/>
      </w:tabs>
      <w:spacing w:beforeLines="50" w:afterLines="50"/>
      <w:ind w:left="210" w:firstLine="0"/>
    </w:pPr>
    <w:rPr>
      <w:rFonts w:ascii="Arial" w:hAnsi="Arial" w:cs="Arial"/>
      <w:caps/>
      <w:sz w:val="24"/>
      <w:szCs w:val="24"/>
    </w:rPr>
  </w:style>
  <w:style w:type="paragraph" w:styleId="14">
    <w:name w:val="toc 2"/>
    <w:basedOn w:val="1"/>
    <w:next w:val="1"/>
    <w:semiHidden/>
    <w:uiPriority w:val="99"/>
    <w:pPr>
      <w:ind w:left="420" w:leftChars="200"/>
    </w:pPr>
  </w:style>
  <w:style w:type="paragraph" w:styleId="15">
    <w:name w:val="Normal (Web)"/>
    <w:basedOn w:val="1"/>
    <w:uiPriority w:val="99"/>
    <w:pPr>
      <w:spacing w:before="100" w:beforeAutospacing="1" w:after="100" w:afterAutospacing="1"/>
      <w:ind w:left="0"/>
    </w:pPr>
    <w:rPr>
      <w:kern w:val="0"/>
      <w:sz w:val="24"/>
      <w:szCs w:val="24"/>
    </w:rPr>
  </w:style>
  <w:style w:type="character" w:styleId="17">
    <w:name w:val="Hyperlink"/>
    <w:basedOn w:val="16"/>
    <w:uiPriority w:val="99"/>
    <w:rPr>
      <w:rFonts w:ascii="lucida Grande" w:hAnsi="lucida Grande" w:cs="lucida Grande"/>
      <w:color w:val="0000FF"/>
      <w:sz w:val="21"/>
      <w:szCs w:val="21"/>
      <w:u w:val="none"/>
    </w:rPr>
  </w:style>
  <w:style w:type="table" w:styleId="19">
    <w:name w:val="Table Grid"/>
    <w:basedOn w:val="18"/>
    <w:uiPriority w:val="99"/>
    <w:pPr>
      <w:widowControl w:val="0"/>
      <w:jc w:val="both"/>
    </w:pPr>
    <w:rPr>
      <w:rFonts w:ascii="Times New Roman" w:hAnsi="Times New Roman"/>
    </w:rPr>
    <w:tblPr>
      <w:tblStyle w:val="1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paragraph" w:customStyle="1" w:styleId="20">
    <w:name w:val="列出段落1"/>
    <w:basedOn w:val="1"/>
    <w:qFormat/>
    <w:uiPriority w:val="99"/>
    <w:pPr>
      <w:ind w:firstLine="420" w:firstLineChars="200"/>
    </w:pPr>
    <w:rPr>
      <w:rFonts w:ascii="Calibri" w:hAnsi="Calibri" w:cs="Calibri"/>
    </w:rPr>
  </w:style>
  <w:style w:type="paragraph" w:customStyle="1" w:styleId="21">
    <w:name w:val="TOC 标题1"/>
    <w:basedOn w:val="2"/>
    <w:next w:val="1"/>
    <w:qFormat/>
    <w:uiPriority w:val="99"/>
    <w:pPr>
      <w:widowControl/>
      <w:tabs>
        <w:tab w:val="clear" w:pos="630"/>
        <w:tab w:val="clear" w:pos="851"/>
      </w:tabs>
      <w:adjustRightInd/>
      <w:spacing w:beforeLines="0" w:after="0" w:line="276" w:lineRule="auto"/>
      <w:ind w:firstLine="0"/>
      <w:outlineLvl w:val="9"/>
    </w:pPr>
    <w:rPr>
      <w:rFonts w:ascii="Cambria" w:hAnsi="Cambria" w:eastAsia="宋体" w:cs="Cambria"/>
      <w:b/>
      <w:bCs/>
      <w:color w:val="365F91"/>
      <w:kern w:val="0"/>
      <w:sz w:val="28"/>
      <w:szCs w:val="28"/>
      <w:lang w:val="en-US"/>
    </w:rPr>
  </w:style>
  <w:style w:type="paragraph" w:customStyle="1" w:styleId="22">
    <w:name w:val="Char Char Char Char"/>
    <w:basedOn w:val="15"/>
    <w:uiPriority w:val="99"/>
    <w:pPr>
      <w:shd w:val="clear" w:color="auto" w:fill="000080"/>
      <w:adjustRightInd w:val="0"/>
      <w:spacing w:before="0" w:beforeAutospacing="0" w:after="0" w:afterAutospacing="0" w:line="436" w:lineRule="exact"/>
      <w:ind w:left="357" w:firstLine="0"/>
      <w:outlineLvl w:val="3"/>
    </w:pPr>
    <w:rPr>
      <w:rFonts w:ascii="Tahoma" w:hAnsi="Tahoma" w:cs="Tahoma"/>
      <w:b/>
      <w:bCs/>
      <w:kern w:val="2"/>
    </w:rPr>
  </w:style>
  <w:style w:type="paragraph" w:customStyle="1" w:styleId="23">
    <w:name w:val="政务正文-1"/>
    <w:basedOn w:val="24"/>
    <w:uiPriority w:val="0"/>
    <w:pPr>
      <w:spacing w:line="240" w:lineRule="auto"/>
      <w:ind w:firstLine="200"/>
    </w:pPr>
  </w:style>
  <w:style w:type="paragraph" w:customStyle="1" w:styleId="24">
    <w:name w:val="政务正文 Char Char Char Char"/>
    <w:basedOn w:val="1"/>
    <w:uiPriority w:val="0"/>
    <w:pPr>
      <w:tabs>
        <w:tab w:val="left" w:pos="3795"/>
      </w:tabs>
      <w:spacing w:line="360" w:lineRule="auto"/>
      <w:ind w:firstLine="560" w:firstLineChars="200"/>
    </w:pPr>
    <w:rPr>
      <w:rFonts w:ascii="宋体"/>
      <w:szCs w:val="28"/>
    </w:rPr>
  </w:style>
  <w:style w:type="paragraph" w:customStyle="1" w:styleId="25">
    <w:name w:val="样式 政务正文-1 + 首行缩进:  2 字符1"/>
    <w:basedOn w:val="23"/>
    <w:uiPriority w:val="0"/>
    <w:pPr>
      <w:ind w:firstLine="560"/>
    </w:pPr>
    <w:rPr>
      <w:rFonts w:cs="宋体"/>
    </w:rPr>
  </w:style>
  <w:style w:type="paragraph" w:customStyle="1" w:styleId="26">
    <w:name w:val="Heading 2"/>
    <w:basedOn w:val="1"/>
    <w:unhideWhenUsed/>
    <w:qFormat/>
    <w:uiPriority w:val="1"/>
    <w:pPr>
      <w:ind w:left="120"/>
      <w:outlineLvl w:val="1"/>
    </w:pPr>
    <w:rPr>
      <w:rFonts w:hint="eastAsia" w:ascii="微软雅黑" w:hAnsi="微软雅黑" w:eastAsia="微软雅黑"/>
      <w:sz w:val="30"/>
    </w:rPr>
  </w:style>
  <w:style w:type="paragraph" w:customStyle="1" w:styleId="27">
    <w:name w:val="Heading 1"/>
    <w:basedOn w:val="1"/>
    <w:unhideWhenUsed/>
    <w:qFormat/>
    <w:uiPriority w:val="1"/>
    <w:pPr>
      <w:outlineLvl w:val="0"/>
    </w:pPr>
    <w:rPr>
      <w:rFonts w:hint="eastAsia" w:ascii="微软雅黑" w:hAnsi="微软雅黑" w:eastAsia="微软雅黑"/>
      <w:sz w:val="36"/>
    </w:rPr>
  </w:style>
  <w:style w:type="character" w:customStyle="1" w:styleId="28">
    <w:name w:val="标题 1 Char"/>
    <w:basedOn w:val="16"/>
    <w:link w:val="2"/>
    <w:locked/>
    <w:uiPriority w:val="99"/>
    <w:rPr>
      <w:rFonts w:ascii="Arial" w:hAnsi="Arial" w:eastAsia="黑体" w:cs="Arial"/>
      <w:kern w:val="44"/>
      <w:sz w:val="30"/>
      <w:szCs w:val="30"/>
      <w:lang w:val="zh-CN"/>
    </w:rPr>
  </w:style>
  <w:style w:type="character" w:customStyle="1" w:styleId="29">
    <w:name w:val="标题 2 Char"/>
    <w:basedOn w:val="16"/>
    <w:link w:val="3"/>
    <w:locked/>
    <w:uiPriority w:val="99"/>
    <w:rPr>
      <w:rFonts w:ascii="Cambria" w:hAnsi="Cambria" w:eastAsia="宋体" w:cs="Cambria"/>
      <w:b/>
      <w:bCs/>
      <w:sz w:val="32"/>
      <w:szCs w:val="32"/>
    </w:rPr>
  </w:style>
  <w:style w:type="character" w:customStyle="1" w:styleId="30">
    <w:name w:val="标题 3 Char"/>
    <w:basedOn w:val="16"/>
    <w:link w:val="4"/>
    <w:semiHidden/>
    <w:locked/>
    <w:uiPriority w:val="99"/>
    <w:rPr>
      <w:rFonts w:ascii="Times New Roman" w:hAnsi="Times New Roman" w:eastAsia="宋体" w:cs="Times New Roman"/>
      <w:b/>
      <w:bCs/>
      <w:sz w:val="32"/>
      <w:szCs w:val="32"/>
    </w:rPr>
  </w:style>
  <w:style w:type="character" w:customStyle="1" w:styleId="31">
    <w:name w:val="正文文本 Char"/>
    <w:basedOn w:val="16"/>
    <w:link w:val="8"/>
    <w:locked/>
    <w:uiPriority w:val="99"/>
    <w:rPr>
      <w:rFonts w:ascii="Times New Roman" w:hAnsi="Times New Roman" w:eastAsia="宋体" w:cs="Times New Roman"/>
      <w:sz w:val="24"/>
      <w:szCs w:val="24"/>
    </w:rPr>
  </w:style>
  <w:style w:type="character" w:customStyle="1" w:styleId="32">
    <w:name w:val="页眉 Char"/>
    <w:basedOn w:val="16"/>
    <w:link w:val="12"/>
    <w:locked/>
    <w:uiPriority w:val="99"/>
    <w:rPr>
      <w:rFonts w:ascii="Times New Roman" w:hAnsi="Times New Roman" w:eastAsia="宋体" w:cs="Times New Roman"/>
      <w:sz w:val="18"/>
      <w:szCs w:val="18"/>
    </w:rPr>
  </w:style>
  <w:style w:type="character" w:customStyle="1" w:styleId="33">
    <w:name w:val="页脚 Char"/>
    <w:basedOn w:val="16"/>
    <w:link w:val="11"/>
    <w:semiHidden/>
    <w:locked/>
    <w:uiPriority w:val="99"/>
    <w:rPr>
      <w:rFonts w:ascii="Times New Roman" w:hAnsi="Times New Roman" w:eastAsia="宋体" w:cs="Times New Roman"/>
      <w:sz w:val="18"/>
      <w:szCs w:val="18"/>
    </w:rPr>
  </w:style>
  <w:style w:type="character" w:customStyle="1" w:styleId="34">
    <w:name w:val="批注框文本 Char"/>
    <w:basedOn w:val="16"/>
    <w:link w:val="10"/>
    <w:semiHidden/>
    <w:locked/>
    <w:uiPriority w:val="99"/>
    <w:rPr>
      <w:rFonts w:ascii="Times New Roman" w:hAnsi="Times New Roman" w:eastAsia="宋体" w:cs="Times New Roman"/>
      <w:sz w:val="18"/>
      <w:szCs w:val="18"/>
    </w:rPr>
  </w:style>
  <w:style w:type="character" w:customStyle="1" w:styleId="35">
    <w:name w:val="文档结构图 Char"/>
    <w:basedOn w:val="16"/>
    <w:link w:val="7"/>
    <w:semiHidden/>
    <w:locked/>
    <w:uiPriority w:val="99"/>
    <w:rPr>
      <w:rFonts w:ascii="宋体" w:hAnsi="Times New Roman" w:eastAsia="宋体" w:cs="宋体"/>
      <w:sz w:val="18"/>
      <w:szCs w:val="18"/>
    </w:rPr>
  </w:style>
</w:styles>
</file>

<file path=word/_rels/document.xml.rels><?xml version="1.0" encoding="UTF-8" standalone="yes"?>
<Relationships xmlns="http://schemas.openxmlformats.org/package/2006/relationships"><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nc</Company>
  <Pages>17</Pages>
  <Words>1685</Words>
  <Characters>9608</Characters>
  <Lines>80</Lines>
  <Paragraphs>22</Paragraphs>
  <ScaleCrop>false</ScaleCrop>
  <LinksUpToDate>false</LinksUpToDate>
  <CharactersWithSpaces>0</CharactersWithSpaces>
  <Application>WPS Office_9.1.0.5184_F1E327BC-269C-435d-A152-05C5408002CA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2015-05-29T07:25:00Z</dcterms:created>
  <dc:creator>李亮</dc:creator>
  <cp:lastModifiedBy>Administrator</cp:lastModifiedBy>
  <dcterms:modified xsi:type="dcterms:W3CDTF">2015-09-11T07:50:57Z</dcterms:modified>
  <dc:title>公共资源交易平台项目</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2052-9.1.0.5184</vt:lpwstr>
  </property>
</Properties>
</file>