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rPr>
          <w:rFonts w:hint="eastAsia" w:ascii="楷体" w:hAnsi="楷体" w:eastAsia="楷体" w:cs="楷体"/>
          <w:b/>
          <w:bCs/>
          <w:color w:val="FF0000"/>
          <w:sz w:val="40"/>
          <w:szCs w:val="48"/>
        </w:rPr>
        <w:t>凝聚鄉情 譽滿香江</w:t>
      </w:r>
    </w:p>
    <w:p>
      <w:pPr>
        <w:rPr>
          <w:rFonts w:ascii="楷体" w:hAnsi="楷体" w:eastAsia="楷体" w:cs="楷体"/>
          <w:color w:val="0000FF"/>
          <w:sz w:val="28"/>
          <w:szCs w:val="36"/>
        </w:rPr>
      </w:pPr>
    </w:p>
    <w:p>
      <w:pPr>
        <w:spacing w:line="360" w:lineRule="auto"/>
        <w:ind w:firstLine="480" w:firstLineChars="200"/>
        <w:rPr>
          <w:rFonts w:ascii="楷体" w:hAnsi="楷体" w:eastAsia="楷体" w:cs="楷体"/>
          <w:color w:val="000000" w:themeColor="text1"/>
          <w:sz w:val="24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lang w:eastAsia="zh-TW"/>
          <w14:textFill>
            <w14:solidFill>
              <w14:schemeClr w14:val="tx1"/>
            </w14:solidFill>
          </w14:textFill>
        </w:rPr>
        <w:t>創三十二載春秋業，譜第十七屆新篇章，不忘初心繼往開來。2017年8月13日，香港晉江社團總會週年慶暨新屆董事就職典禮隆重舉行，</w:t>
      </w:r>
      <w:r>
        <w:rPr>
          <w:rFonts w:hint="eastAsia" w:ascii="楷体" w:hAnsi="楷体" w:eastAsia="楷体" w:cs="楷体"/>
          <w:color w:val="000000" w:themeColor="text1"/>
          <w:sz w:val="24"/>
          <w:szCs w:val="32"/>
          <w:lang w:eastAsia="zh-TW"/>
          <w14:textFill>
            <w14:solidFill>
              <w14:schemeClr w14:val="tx1"/>
            </w14:solidFill>
          </w14:textFill>
        </w:rPr>
        <w:t>洪頂超榮膺新一屆董事會主席。</w:t>
      </w:r>
      <w:r>
        <w:rPr>
          <w:rFonts w:hint="eastAsia" w:ascii="楷体" w:hAnsi="楷体" w:eastAsia="楷体" w:cs="楷体"/>
          <w:color w:val="000000" w:themeColor="text1"/>
          <w:sz w:val="24"/>
          <w:lang w:eastAsia="zh-TW"/>
          <w14:textFill>
            <w14:solidFill>
              <w14:schemeClr w14:val="tx1"/>
            </w14:solidFill>
          </w14:textFill>
        </w:rPr>
        <w:t>在就職典禮上，洪頂超先生代表其家庭慈善基金向晉江金井鎮慈善協會捐贈人民幣1200萬元，向晉江社總教育基金捐港幣50萬元。他說，晉江金井鎮是自己的出生地，目前正在建設發展中，想藉就職良機為自己的家鄉盡些綿力，助其發展得更快、更好。</w:t>
      </w:r>
    </w:p>
    <w:p>
      <w:pPr>
        <w:ind w:firstLine="560" w:firstLineChars="200"/>
        <w:rPr>
          <w:rFonts w:ascii="楷体" w:hAnsi="楷体" w:eastAsia="楷体" w:cs="楷体"/>
          <w:color w:val="0000FF"/>
          <w:sz w:val="28"/>
          <w:szCs w:val="28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color w:val="0000FF"/>
          <w:sz w:val="28"/>
          <w:szCs w:val="28"/>
          <w:lang w:eastAsia="zh-TW"/>
        </w:rPr>
      </w:pPr>
    </w:p>
    <w:p>
      <w:pPr>
        <w:rPr>
          <w:rFonts w:eastAsia="宋体"/>
        </w:rPr>
      </w:pPr>
      <w:r>
        <w:rPr>
          <w:rFonts w:eastAsia="宋体"/>
        </w:rPr>
        <w:drawing>
          <wp:inline distT="0" distB="0" distL="114300" distR="114300">
            <wp:extent cx="5274310" cy="3515995"/>
            <wp:effectExtent l="0" t="0" r="2540" b="8255"/>
            <wp:docPr id="13" name="图片 13" descr="施維雄（右）將晉江社總印信移交洪頂超（左），中聯辦副主任陳冬（中）見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施維雄（右）將晉江社總印信移交洪頂超（左），中聯辦副主任陳冬（中）見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楷体" w:hAnsi="楷体" w:eastAsia="楷体" w:cs="楷体"/>
          <w:lang w:eastAsia="zh-TW"/>
        </w:rPr>
      </w:pPr>
      <w:r>
        <w:rPr>
          <w:rFonts w:hint="eastAsia" w:ascii="楷体" w:hAnsi="楷体" w:eastAsia="楷体" w:cs="楷体"/>
          <w:lang w:eastAsia="zh-TW"/>
        </w:rPr>
        <w:t>施維雄（右）將晉江社總印信移交洪頂超（左），中聯辦副主任陳冬（中）見證</w:t>
      </w:r>
    </w:p>
    <w:p>
      <w:pPr>
        <w:ind w:firstLine="560" w:firstLineChars="200"/>
        <w:rPr>
          <w:rFonts w:ascii="楷体" w:hAnsi="楷体" w:eastAsia="楷体" w:cs="楷体"/>
          <w:color w:val="0000FF"/>
          <w:sz w:val="28"/>
          <w:szCs w:val="28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color w:val="0000FF"/>
          <w:sz w:val="28"/>
          <w:szCs w:val="28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color w:val="0000FF"/>
          <w:sz w:val="28"/>
          <w:szCs w:val="28"/>
          <w:lang w:eastAsia="zh-TW"/>
        </w:rPr>
      </w:pP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drawing>
          <wp:inline distT="0" distB="0" distL="114300" distR="114300">
            <wp:extent cx="5266055" cy="1898650"/>
            <wp:effectExtent l="0" t="0" r="10795" b="6350"/>
            <wp:docPr id="4" name="图片 4" descr="1,理監事大合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,理監事大合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楷体" w:hAnsi="楷体" w:eastAsia="楷体" w:cs="楷体"/>
          <w:lang w:eastAsia="zh-TW"/>
        </w:rPr>
      </w:pPr>
      <w:r>
        <w:rPr>
          <w:rFonts w:hint="eastAsia" w:ascii="楷体" w:hAnsi="楷体" w:eastAsia="楷体" w:cs="楷体"/>
          <w:lang w:eastAsia="zh-TW"/>
        </w:rPr>
        <w:t>香港晉江社團總會成立32週年暨17屆董事會就職典禮，理監事大合照</w:t>
      </w:r>
    </w:p>
    <w:p>
      <w:pPr>
        <w:ind w:firstLine="480" w:firstLineChars="200"/>
        <w:jc w:val="center"/>
        <w:rPr>
          <w:rFonts w:ascii="楷体" w:hAnsi="楷体" w:eastAsia="楷体" w:cs="楷体"/>
          <w:sz w:val="24"/>
          <w:szCs w:val="32"/>
          <w:lang w:eastAsia="zh-TW"/>
        </w:rPr>
      </w:pPr>
    </w:p>
    <w:p>
      <w:pPr>
        <w:ind w:firstLine="480" w:firstLineChars="200"/>
        <w:jc w:val="center"/>
        <w:rPr>
          <w:rFonts w:ascii="楷体" w:hAnsi="楷体" w:eastAsia="楷体" w:cs="楷体"/>
          <w:sz w:val="24"/>
          <w:szCs w:val="32"/>
          <w:lang w:eastAsia="zh-TW"/>
        </w:rPr>
      </w:pPr>
    </w:p>
    <w:p>
      <w:pPr>
        <w:rPr>
          <w:rFonts w:eastAsia="宋体"/>
        </w:rPr>
      </w:pPr>
      <w:r>
        <w:rPr>
          <w:rFonts w:eastAsia="宋体"/>
        </w:rPr>
        <w:drawing>
          <wp:inline distT="0" distB="0" distL="114300" distR="114300">
            <wp:extent cx="5259070" cy="2129790"/>
            <wp:effectExtent l="0" t="0" r="17780" b="3810"/>
            <wp:docPr id="2" name="图片 2" descr="2,青英大合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,青英大合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楷体" w:hAnsi="楷体" w:eastAsia="楷体" w:cs="楷体"/>
          <w:lang w:eastAsia="zh-TW"/>
        </w:rPr>
      </w:pPr>
      <w:r>
        <w:rPr>
          <w:rFonts w:hint="eastAsia" w:ascii="楷体" w:hAnsi="楷体" w:eastAsia="楷体" w:cs="楷体"/>
          <w:lang w:eastAsia="zh-TW"/>
        </w:rPr>
        <w:t>香港晉江社團總會成立32週年暨17屆董事會就職典禮，青英大合照</w:t>
      </w:r>
    </w:p>
    <w:p>
      <w:pPr>
        <w:ind w:firstLine="420" w:firstLineChars="200"/>
        <w:jc w:val="center"/>
        <w:rPr>
          <w:rFonts w:eastAsia="宋体"/>
          <w:lang w:eastAsia="zh-TW"/>
        </w:rPr>
      </w:pPr>
    </w:p>
    <w:p>
      <w:pPr>
        <w:rPr>
          <w:lang w:eastAsia="zh-TW"/>
        </w:rPr>
      </w:pPr>
    </w:p>
    <w:p>
      <w:r>
        <w:rPr>
          <w:rFonts w:hint="eastAsia"/>
        </w:rPr>
        <w:drawing>
          <wp:inline distT="0" distB="0" distL="114300" distR="114300">
            <wp:extent cx="5264150" cy="3001010"/>
            <wp:effectExtent l="0" t="0" r="12700" b="8890"/>
            <wp:docPr id="3" name="图片 3" descr="洪頂超家族慈善基金向晉江金井鎮慈善協會捐贈人民幣1200萬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洪頂超家族慈善基金向晉江金井鎮慈善協會捐贈人民幣1200萬元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 w:cs="楷体"/>
          <w:szCs w:val="21"/>
          <w:lang w:eastAsia="zh-TW"/>
        </w:rPr>
      </w:pPr>
      <w:r>
        <w:rPr>
          <w:rFonts w:hint="eastAsia" w:ascii="楷体" w:hAnsi="楷体" w:eastAsia="楷体" w:cs="楷体"/>
          <w:szCs w:val="21"/>
          <w:lang w:eastAsia="zh-TW"/>
        </w:rPr>
        <w:t>洪頂超家族慈善基金向晉江金井鎮慈善協會捐贈人民幣1200萬元</w:t>
      </w:r>
    </w:p>
    <w:p>
      <w:pPr>
        <w:rPr>
          <w:rFonts w:ascii="楷体" w:hAnsi="楷体" w:eastAsia="楷体" w:cs="楷体"/>
          <w:sz w:val="24"/>
          <w:szCs w:val="32"/>
          <w:lang w:eastAsia="zh-TW"/>
        </w:rPr>
      </w:pPr>
    </w:p>
    <w:p>
      <w:pPr>
        <w:jc w:val="center"/>
        <w:rPr>
          <w:rFonts w:ascii="楷体" w:hAnsi="楷体" w:eastAsia="楷体" w:cs="楷体"/>
          <w:sz w:val="24"/>
          <w:szCs w:val="32"/>
          <w:lang w:eastAsia="zh-TW"/>
        </w:rPr>
      </w:pPr>
    </w:p>
    <w:p>
      <w:r>
        <w:rPr>
          <w:rFonts w:hint="eastAsia"/>
        </w:rPr>
        <w:drawing>
          <wp:inline distT="0" distB="0" distL="114300" distR="114300">
            <wp:extent cx="5273040" cy="3348355"/>
            <wp:effectExtent l="0" t="0" r="3810" b="4445"/>
            <wp:docPr id="5" name="图片 5" descr="洪頂超主席向晉江社總教育基金捐資港幣五十萬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洪頂超主席向晉江社總教育基金捐資港幣五十萬元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 w:cs="楷体"/>
          <w:szCs w:val="21"/>
          <w:lang w:eastAsia="zh-TW"/>
        </w:rPr>
      </w:pPr>
      <w:r>
        <w:rPr>
          <w:rFonts w:hint="eastAsia" w:ascii="楷体" w:hAnsi="楷体" w:eastAsia="楷体" w:cs="楷体"/>
          <w:szCs w:val="21"/>
          <w:lang w:eastAsia="zh-TW"/>
        </w:rPr>
        <w:t>洪頂超主席向晉江社總教育基金捐資港幣五十萬元</w:t>
      </w:r>
    </w:p>
    <w:p>
      <w:pPr>
        <w:rPr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pPr>
        <w:ind w:firstLine="560" w:firstLineChars="200"/>
        <w:rPr>
          <w:rFonts w:ascii="楷体" w:hAnsi="楷体" w:eastAsia="楷体" w:cs="楷体"/>
          <w:sz w:val="28"/>
          <w:szCs w:val="36"/>
          <w:lang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3E0A"/>
    <w:rsid w:val="1BF1685A"/>
    <w:rsid w:val="3B5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2019-08-19T09:32:00Z</dcterms:created>
  <dc:creator>真的不够白</dc:creator>
  <cp:lastModifiedBy>真的不够白</cp:lastModifiedBy>
  <dcterms:modified xsi:type="dcterms:W3CDTF">2019-08-19T09:48:54Z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